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D84DA" w14:textId="6B72B67A" w:rsidR="00ED648B" w:rsidRPr="00ED648B" w:rsidRDefault="00ED648B" w:rsidP="00ED648B">
      <w:pPr>
        <w:rPr>
          <w:b/>
          <w:bCs/>
        </w:rPr>
      </w:pPr>
      <w:r w:rsidRPr="00ED648B">
        <w:rPr>
          <w:b/>
          <w:bCs/>
        </w:rPr>
        <w:t>Event Title:</w:t>
      </w:r>
    </w:p>
    <w:p w14:paraId="6C7E61CE" w14:textId="77777777" w:rsidR="00ED648B" w:rsidRPr="00ED648B" w:rsidRDefault="00ED648B" w:rsidP="00ED648B">
      <w:r w:rsidRPr="00ED648B">
        <w:t>Accelerating Women’s Entrepreneurship Development in Africa: A Catalyst for Inclusive Development</w:t>
      </w:r>
      <w:r w:rsidRPr="00ED648B">
        <w:br/>
        <w:t>De-risking the Renewable Energy Viability Gap in Africa</w:t>
      </w:r>
    </w:p>
    <w:p w14:paraId="477B0808" w14:textId="77777777" w:rsidR="00ED648B" w:rsidRPr="00ED648B" w:rsidRDefault="00ED648B" w:rsidP="00ED648B">
      <w:pPr>
        <w:rPr>
          <w:b/>
          <w:bCs/>
        </w:rPr>
      </w:pPr>
      <w:r w:rsidRPr="00ED648B">
        <w:rPr>
          <w:b/>
          <w:bCs/>
        </w:rPr>
        <w:t>Date and Time:</w:t>
      </w:r>
    </w:p>
    <w:p w14:paraId="55EFFFD5" w14:textId="77777777" w:rsidR="00ED648B" w:rsidRPr="00ED648B" w:rsidRDefault="00ED648B" w:rsidP="00ED648B">
      <w:r w:rsidRPr="00ED648B">
        <w:t>September 23rd, 2024, 3:00 - 6:00 PM</w:t>
      </w:r>
    </w:p>
    <w:p w14:paraId="733681EA" w14:textId="77777777" w:rsidR="00ED648B" w:rsidRPr="00ED648B" w:rsidRDefault="00ED648B" w:rsidP="00ED648B">
      <w:pPr>
        <w:rPr>
          <w:b/>
          <w:bCs/>
        </w:rPr>
      </w:pPr>
      <w:r w:rsidRPr="00ED648B">
        <w:rPr>
          <w:b/>
          <w:bCs/>
        </w:rPr>
        <w:t>Venue:</w:t>
      </w:r>
    </w:p>
    <w:p w14:paraId="0D22F1A9" w14:textId="77777777" w:rsidR="00ED648B" w:rsidRPr="00ED648B" w:rsidRDefault="00ED648B" w:rsidP="00ED648B">
      <w:r w:rsidRPr="00ED648B">
        <w:t>United Nations Secretariat Conference Room 12, New York</w:t>
      </w:r>
    </w:p>
    <w:p w14:paraId="109D996B" w14:textId="77777777" w:rsidR="00ED648B" w:rsidRPr="00ED648B" w:rsidRDefault="00ED648B" w:rsidP="00ED648B">
      <w:pPr>
        <w:rPr>
          <w:b/>
          <w:bCs/>
        </w:rPr>
      </w:pPr>
      <w:r w:rsidRPr="00ED648B">
        <w:rPr>
          <w:b/>
          <w:bCs/>
        </w:rPr>
        <w:t>Hosting Institutions:</w:t>
      </w:r>
    </w:p>
    <w:p w14:paraId="4674E5DF" w14:textId="77777777" w:rsidR="00ED648B" w:rsidRDefault="00ED648B" w:rsidP="00ED648B">
      <w:pPr>
        <w:numPr>
          <w:ilvl w:val="0"/>
          <w:numId w:val="1"/>
        </w:numPr>
      </w:pPr>
      <w:r w:rsidRPr="00ED648B">
        <w:t>UNDP Zimbabwe</w:t>
      </w:r>
    </w:p>
    <w:p w14:paraId="56A9D9F8" w14:textId="6E71B941" w:rsidR="00626648" w:rsidRPr="00ED648B" w:rsidRDefault="00626648" w:rsidP="00626648">
      <w:pPr>
        <w:numPr>
          <w:ilvl w:val="0"/>
          <w:numId w:val="1"/>
        </w:numPr>
      </w:pPr>
      <w:r w:rsidRPr="00ED648B">
        <w:t>Government of Zimbabwe</w:t>
      </w:r>
    </w:p>
    <w:p w14:paraId="0DA385F7" w14:textId="77777777" w:rsidR="00ED648B" w:rsidRPr="00ED648B" w:rsidRDefault="000351A1" w:rsidP="00ED648B">
      <w:r>
        <w:rPr>
          <w:noProof/>
        </w:rPr>
        <w:pict w14:anchorId="3FD74966">
          <v:rect id="_x0000_i1029" alt="" style="width:468pt;height:.05pt;mso-width-percent:0;mso-height-percent:0;mso-width-percent:0;mso-height-percent:0" o:hralign="center" o:hrstd="t" o:hr="t" fillcolor="#a0a0a0" stroked="f"/>
        </w:pict>
      </w:r>
    </w:p>
    <w:p w14:paraId="55570210" w14:textId="77777777" w:rsidR="00ED648B" w:rsidRPr="00ED648B" w:rsidRDefault="00ED648B" w:rsidP="00ED648B">
      <w:pPr>
        <w:rPr>
          <w:b/>
          <w:bCs/>
        </w:rPr>
      </w:pPr>
      <w:r w:rsidRPr="00ED648B">
        <w:rPr>
          <w:b/>
          <w:bCs/>
        </w:rPr>
        <w:t>Introduction:</w:t>
      </w:r>
    </w:p>
    <w:p w14:paraId="05F6F589" w14:textId="77777777" w:rsidR="00ED648B" w:rsidRPr="00ED648B" w:rsidRDefault="00ED648B" w:rsidP="00ED648B">
      <w:r w:rsidRPr="00ED648B">
        <w:t>This high-level side event at the 79th United Nations General Assembly will address two critical themes for Africa’s development:</w:t>
      </w:r>
    </w:p>
    <w:p w14:paraId="6E363473" w14:textId="77777777" w:rsidR="00ED648B" w:rsidRPr="00ED648B" w:rsidRDefault="00ED648B" w:rsidP="00ED648B">
      <w:pPr>
        <w:numPr>
          <w:ilvl w:val="0"/>
          <w:numId w:val="2"/>
        </w:numPr>
      </w:pPr>
      <w:r w:rsidRPr="00ED648B">
        <w:rPr>
          <w:b/>
          <w:bCs/>
        </w:rPr>
        <w:t>Accelerating Women’s Entrepreneurship Development in Africa</w:t>
      </w:r>
      <w:r w:rsidRPr="00ED648B">
        <w:t>: This theme focuses on empowering women as key drivers of economic growth and social transformation across the continent.</w:t>
      </w:r>
    </w:p>
    <w:p w14:paraId="30871C02" w14:textId="77777777" w:rsidR="00ED648B" w:rsidRPr="00ED648B" w:rsidRDefault="00ED648B" w:rsidP="00ED648B">
      <w:pPr>
        <w:numPr>
          <w:ilvl w:val="0"/>
          <w:numId w:val="2"/>
        </w:numPr>
      </w:pPr>
      <w:r w:rsidRPr="00ED648B">
        <w:rPr>
          <w:b/>
          <w:bCs/>
        </w:rPr>
        <w:t>De-risking the Renewable Energy Viability Gap in Africa</w:t>
      </w:r>
      <w:r w:rsidRPr="00ED648B">
        <w:t>: This theme examines solutions to bridge the gap between renewable energy aspirations and the financial, infrastructural, and institutional challenges hindering investments.</w:t>
      </w:r>
    </w:p>
    <w:p w14:paraId="4A4A58DC" w14:textId="77777777" w:rsidR="00ED648B" w:rsidRPr="00ED648B" w:rsidRDefault="00ED648B" w:rsidP="00ED648B">
      <w:r w:rsidRPr="00ED648B">
        <w:t>These discussions aim to provide concrete pathways for gender-responsive entrepreneurship ecosystems and bankable renewable energy models, which are crucial to achieving Africa’s Sustainable Development Goals (SDGs).</w:t>
      </w:r>
    </w:p>
    <w:p w14:paraId="213FCB7D" w14:textId="77777777" w:rsidR="00ED648B" w:rsidRPr="00ED648B" w:rsidRDefault="00ED648B" w:rsidP="00ED648B">
      <w:pPr>
        <w:rPr>
          <w:b/>
          <w:bCs/>
        </w:rPr>
      </w:pPr>
      <w:r w:rsidRPr="00ED648B">
        <w:rPr>
          <w:b/>
          <w:bCs/>
        </w:rPr>
        <w:t>Objective:</w:t>
      </w:r>
    </w:p>
    <w:p w14:paraId="276E2C8A" w14:textId="77777777" w:rsidR="00ED648B" w:rsidRPr="00ED648B" w:rsidRDefault="00ED648B" w:rsidP="00ED648B">
      <w:r w:rsidRPr="00ED648B">
        <w:t>The overall objective of this side event is to catalyze dialogue, foster partnerships, and generate actionable commitments for Africa’s development in the areas of women’s entrepreneurship and renewable energy.</w:t>
      </w:r>
    </w:p>
    <w:p w14:paraId="48AF7177" w14:textId="77777777" w:rsidR="00ED648B" w:rsidRPr="00ED648B" w:rsidRDefault="000351A1" w:rsidP="00ED648B">
      <w:r>
        <w:rPr>
          <w:noProof/>
        </w:rPr>
        <w:pict w14:anchorId="41279A68">
          <v:rect id="_x0000_i1028" alt="" style="width:468pt;height:.05pt;mso-width-percent:0;mso-height-percent:0;mso-width-percent:0;mso-height-percent:0" o:hralign="center" o:hrstd="t" o:hr="t" fillcolor="#a0a0a0" stroked="f"/>
        </w:pict>
      </w:r>
    </w:p>
    <w:p w14:paraId="0DA0B913" w14:textId="562C3DBD" w:rsidR="00ED648B" w:rsidRPr="00ED648B" w:rsidRDefault="00ED648B" w:rsidP="00ED648B">
      <w:pPr>
        <w:rPr>
          <w:b/>
          <w:bCs/>
        </w:rPr>
      </w:pPr>
      <w:r w:rsidRPr="00ED648B">
        <w:rPr>
          <w:b/>
          <w:bCs/>
        </w:rPr>
        <w:t>Format of the Event</w:t>
      </w:r>
      <w:r>
        <w:rPr>
          <w:b/>
          <w:bCs/>
        </w:rPr>
        <w:t>s</w:t>
      </w:r>
      <w:r w:rsidRPr="00ED648B">
        <w:rPr>
          <w:b/>
          <w:bCs/>
        </w:rPr>
        <w:t>:</w:t>
      </w:r>
    </w:p>
    <w:p w14:paraId="69E8D562" w14:textId="77777777" w:rsidR="00ED648B" w:rsidRPr="00ED648B" w:rsidRDefault="00ED648B" w:rsidP="00ED648B">
      <w:r w:rsidRPr="00ED648B">
        <w:t>The session will be divided into two main segments, each addressing one of the themes.</w:t>
      </w:r>
    </w:p>
    <w:p w14:paraId="244EF562" w14:textId="77777777" w:rsidR="00ED648B" w:rsidRPr="00ED648B" w:rsidRDefault="00ED648B" w:rsidP="00ED648B">
      <w:pPr>
        <w:rPr>
          <w:b/>
          <w:bCs/>
        </w:rPr>
      </w:pPr>
      <w:r w:rsidRPr="00ED648B">
        <w:rPr>
          <w:b/>
          <w:bCs/>
        </w:rPr>
        <w:t>Roles and Activities: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8"/>
        <w:gridCol w:w="1647"/>
        <w:gridCol w:w="1890"/>
      </w:tblGrid>
      <w:tr w:rsidR="00703791" w:rsidRPr="00ED648B" w14:paraId="1B88D56A" w14:textId="4AB02648" w:rsidTr="00703791">
        <w:trPr>
          <w:tblHeader/>
          <w:tblCellSpacing w:w="15" w:type="dxa"/>
        </w:trPr>
        <w:tc>
          <w:tcPr>
            <w:tcW w:w="0" w:type="auto"/>
            <w:vMerge w:val="restart"/>
            <w:vAlign w:val="center"/>
            <w:hideMark/>
          </w:tcPr>
          <w:p w14:paraId="04286FD8" w14:textId="77777777" w:rsidR="00703791" w:rsidRPr="00ED648B" w:rsidRDefault="00703791" w:rsidP="00ED648B">
            <w:pPr>
              <w:rPr>
                <w:b/>
                <w:bCs/>
              </w:rPr>
            </w:pPr>
            <w:r w:rsidRPr="00ED648B">
              <w:rPr>
                <w:b/>
                <w:bCs/>
              </w:rPr>
              <w:t>Activity</w:t>
            </w:r>
          </w:p>
        </w:tc>
        <w:tc>
          <w:tcPr>
            <w:tcW w:w="3492" w:type="dxa"/>
            <w:gridSpan w:val="2"/>
            <w:vAlign w:val="center"/>
            <w:hideMark/>
          </w:tcPr>
          <w:p w14:paraId="62B96C73" w14:textId="57B45AFC" w:rsidR="00703791" w:rsidRPr="00ED648B" w:rsidRDefault="00703791" w:rsidP="00D779CF">
            <w:pPr>
              <w:jc w:val="center"/>
              <w:rPr>
                <w:b/>
                <w:bCs/>
              </w:rPr>
            </w:pPr>
            <w:r>
              <w:rPr>
                <w:b/>
                <w:bCs/>
              </w:rPr>
              <w:t>Themes</w:t>
            </w:r>
          </w:p>
        </w:tc>
      </w:tr>
      <w:tr w:rsidR="00703791" w:rsidRPr="00ED648B" w14:paraId="4826A65F" w14:textId="77777777" w:rsidTr="00D779CF">
        <w:trPr>
          <w:tblHeader/>
          <w:tblCellSpacing w:w="15" w:type="dxa"/>
        </w:trPr>
        <w:tc>
          <w:tcPr>
            <w:tcW w:w="0" w:type="auto"/>
            <w:vMerge/>
            <w:vAlign w:val="center"/>
          </w:tcPr>
          <w:p w14:paraId="7B446CA8" w14:textId="77777777" w:rsidR="00703791" w:rsidRPr="00ED648B" w:rsidRDefault="00703791" w:rsidP="00ED648B">
            <w:pPr>
              <w:rPr>
                <w:b/>
                <w:bCs/>
              </w:rPr>
            </w:pPr>
          </w:p>
        </w:tc>
        <w:tc>
          <w:tcPr>
            <w:tcW w:w="1617" w:type="dxa"/>
            <w:vAlign w:val="center"/>
          </w:tcPr>
          <w:p w14:paraId="0B0966EA" w14:textId="189C3732" w:rsidR="00703791" w:rsidRDefault="00703791" w:rsidP="00ED648B">
            <w:pPr>
              <w:rPr>
                <w:b/>
                <w:bCs/>
              </w:rPr>
            </w:pPr>
            <w:r>
              <w:rPr>
                <w:b/>
                <w:bCs/>
              </w:rPr>
              <w:t>Gender</w:t>
            </w:r>
          </w:p>
        </w:tc>
        <w:tc>
          <w:tcPr>
            <w:tcW w:w="1845" w:type="dxa"/>
          </w:tcPr>
          <w:p w14:paraId="02BDD87B" w14:textId="6DB230E4" w:rsidR="00703791" w:rsidRDefault="00703791" w:rsidP="00D779CF">
            <w:pPr>
              <w:jc w:val="center"/>
              <w:rPr>
                <w:b/>
                <w:bCs/>
              </w:rPr>
            </w:pPr>
            <w:r>
              <w:rPr>
                <w:b/>
                <w:bCs/>
              </w:rPr>
              <w:t>Energy</w:t>
            </w:r>
          </w:p>
        </w:tc>
      </w:tr>
      <w:tr w:rsidR="00D779CF" w:rsidRPr="00ED648B" w14:paraId="608E53D4" w14:textId="7E825EE0" w:rsidTr="00D779CF">
        <w:trPr>
          <w:tblCellSpacing w:w="15" w:type="dxa"/>
        </w:trPr>
        <w:tc>
          <w:tcPr>
            <w:tcW w:w="0" w:type="auto"/>
            <w:vAlign w:val="center"/>
            <w:hideMark/>
          </w:tcPr>
          <w:p w14:paraId="6B6FFFD3" w14:textId="77777777" w:rsidR="00D779CF" w:rsidRPr="00ED648B" w:rsidRDefault="00D779CF" w:rsidP="00ED648B">
            <w:r w:rsidRPr="00ED648B">
              <w:rPr>
                <w:b/>
                <w:bCs/>
              </w:rPr>
              <w:t>Moderator Introductions and Briefing</w:t>
            </w:r>
          </w:p>
        </w:tc>
        <w:tc>
          <w:tcPr>
            <w:tcW w:w="1617" w:type="dxa"/>
            <w:vAlign w:val="center"/>
            <w:hideMark/>
          </w:tcPr>
          <w:p w14:paraId="42B623F5" w14:textId="035BD308" w:rsidR="00D779CF" w:rsidRPr="00ED648B" w:rsidRDefault="00D779CF" w:rsidP="00ED648B">
            <w:r>
              <w:t>3:00 -3:05 PM</w:t>
            </w:r>
          </w:p>
        </w:tc>
        <w:tc>
          <w:tcPr>
            <w:tcW w:w="1845" w:type="dxa"/>
          </w:tcPr>
          <w:p w14:paraId="6A7EB52D" w14:textId="5C5D589D" w:rsidR="00D779CF" w:rsidRPr="00ED648B" w:rsidRDefault="00D779CF" w:rsidP="00ED648B"/>
        </w:tc>
      </w:tr>
      <w:tr w:rsidR="00D779CF" w:rsidRPr="00ED648B" w14:paraId="47CF8343" w14:textId="19F97EA7" w:rsidTr="00D779CF">
        <w:trPr>
          <w:tblCellSpacing w:w="15" w:type="dxa"/>
        </w:trPr>
        <w:tc>
          <w:tcPr>
            <w:tcW w:w="0" w:type="auto"/>
            <w:vAlign w:val="center"/>
            <w:hideMark/>
          </w:tcPr>
          <w:p w14:paraId="4F32E673" w14:textId="3544414E" w:rsidR="00D779CF" w:rsidRPr="00ED648B" w:rsidRDefault="00D779CF" w:rsidP="00ED648B">
            <w:r w:rsidRPr="00ED648B">
              <w:rPr>
                <w:b/>
                <w:bCs/>
              </w:rPr>
              <w:t xml:space="preserve">Opening </w:t>
            </w:r>
            <w:r>
              <w:rPr>
                <w:b/>
                <w:bCs/>
              </w:rPr>
              <w:t>Remarks</w:t>
            </w:r>
          </w:p>
        </w:tc>
        <w:tc>
          <w:tcPr>
            <w:tcW w:w="1617" w:type="dxa"/>
            <w:vAlign w:val="center"/>
            <w:hideMark/>
          </w:tcPr>
          <w:p w14:paraId="6EBF9BF9" w14:textId="1CAFD80F" w:rsidR="00D779CF" w:rsidRPr="00ED648B" w:rsidRDefault="00D779CF" w:rsidP="00ED648B">
            <w:r>
              <w:t>3:05 – 3:20PM</w:t>
            </w:r>
          </w:p>
        </w:tc>
        <w:tc>
          <w:tcPr>
            <w:tcW w:w="1845" w:type="dxa"/>
          </w:tcPr>
          <w:p w14:paraId="137C9773" w14:textId="1A77824F" w:rsidR="00D779CF" w:rsidRPr="00ED648B" w:rsidRDefault="00D779CF" w:rsidP="00ED648B"/>
        </w:tc>
      </w:tr>
      <w:tr w:rsidR="00D779CF" w:rsidRPr="00ED648B" w14:paraId="3257109C" w14:textId="77777777" w:rsidTr="00D779CF">
        <w:trPr>
          <w:tblCellSpacing w:w="15" w:type="dxa"/>
        </w:trPr>
        <w:tc>
          <w:tcPr>
            <w:tcW w:w="0" w:type="auto"/>
            <w:vAlign w:val="center"/>
          </w:tcPr>
          <w:p w14:paraId="5A6753FE" w14:textId="1E5CB1F4" w:rsidR="00D779CF" w:rsidRPr="00ED648B" w:rsidRDefault="00D779CF" w:rsidP="00ED648B">
            <w:pPr>
              <w:rPr>
                <w:b/>
                <w:bCs/>
              </w:rPr>
            </w:pPr>
            <w:r>
              <w:rPr>
                <w:b/>
                <w:bCs/>
              </w:rPr>
              <w:t>Keynote speakers</w:t>
            </w:r>
          </w:p>
        </w:tc>
        <w:tc>
          <w:tcPr>
            <w:tcW w:w="1617" w:type="dxa"/>
            <w:vAlign w:val="center"/>
          </w:tcPr>
          <w:p w14:paraId="490E2BDD" w14:textId="05B3C2CE" w:rsidR="00D779CF" w:rsidRDefault="00D779CF" w:rsidP="00ED648B">
            <w:r>
              <w:t>3:20 – 3:45PM</w:t>
            </w:r>
          </w:p>
        </w:tc>
        <w:tc>
          <w:tcPr>
            <w:tcW w:w="1845" w:type="dxa"/>
          </w:tcPr>
          <w:p w14:paraId="3FB5890A" w14:textId="2088856A" w:rsidR="00D779CF" w:rsidRDefault="00D779CF" w:rsidP="00ED648B">
            <w:r>
              <w:t xml:space="preserve">4:30 </w:t>
            </w:r>
            <w:r w:rsidR="00BD2B4E">
              <w:t>–</w:t>
            </w:r>
            <w:r>
              <w:t xml:space="preserve"> 4:55PM</w:t>
            </w:r>
          </w:p>
        </w:tc>
      </w:tr>
      <w:tr w:rsidR="00D779CF" w:rsidRPr="00ED648B" w14:paraId="1447A535" w14:textId="2DCAD4E5" w:rsidTr="00D779CF">
        <w:trPr>
          <w:tblCellSpacing w:w="15" w:type="dxa"/>
        </w:trPr>
        <w:tc>
          <w:tcPr>
            <w:tcW w:w="0" w:type="auto"/>
            <w:vAlign w:val="center"/>
            <w:hideMark/>
          </w:tcPr>
          <w:p w14:paraId="7EEB7914" w14:textId="11F7F7F4" w:rsidR="00D779CF" w:rsidRPr="00ED648B" w:rsidRDefault="00D779CF" w:rsidP="00ED648B">
            <w:r w:rsidRPr="00ED648B">
              <w:rPr>
                <w:b/>
                <w:bCs/>
              </w:rPr>
              <w:t>Panel Discussion</w:t>
            </w:r>
            <w:r w:rsidRPr="00ED648B">
              <w:t xml:space="preserve"> (</w:t>
            </w:r>
            <w:r>
              <w:t>4</w:t>
            </w:r>
            <w:r w:rsidRPr="00ED648B">
              <w:t xml:space="preserve"> speakers per theme)</w:t>
            </w:r>
          </w:p>
        </w:tc>
        <w:tc>
          <w:tcPr>
            <w:tcW w:w="1617" w:type="dxa"/>
            <w:vAlign w:val="center"/>
            <w:hideMark/>
          </w:tcPr>
          <w:p w14:paraId="2A90E901" w14:textId="29C9A7A5" w:rsidR="00D779CF" w:rsidRPr="00ED648B" w:rsidRDefault="00D779CF" w:rsidP="00ED648B">
            <w:r>
              <w:t>3:45 – 4:30PM</w:t>
            </w:r>
          </w:p>
        </w:tc>
        <w:tc>
          <w:tcPr>
            <w:tcW w:w="1845" w:type="dxa"/>
          </w:tcPr>
          <w:p w14:paraId="59561EEB" w14:textId="1C539577" w:rsidR="00D779CF" w:rsidRPr="00ED648B" w:rsidRDefault="00D779CF" w:rsidP="00ED648B">
            <w:r>
              <w:t>4:55 – 5:35PM</w:t>
            </w:r>
          </w:p>
        </w:tc>
      </w:tr>
      <w:tr w:rsidR="00D779CF" w:rsidRPr="00ED648B" w14:paraId="4E80159D" w14:textId="57ED1362" w:rsidTr="00D779CF">
        <w:trPr>
          <w:tblCellSpacing w:w="15" w:type="dxa"/>
        </w:trPr>
        <w:tc>
          <w:tcPr>
            <w:tcW w:w="0" w:type="auto"/>
            <w:vAlign w:val="center"/>
            <w:hideMark/>
          </w:tcPr>
          <w:p w14:paraId="1B998D91" w14:textId="6033EC95" w:rsidR="00D779CF" w:rsidRPr="00ED648B" w:rsidRDefault="00D5318D" w:rsidP="00ED648B">
            <w:r>
              <w:rPr>
                <w:b/>
                <w:bCs/>
              </w:rPr>
              <w:t>Q&amp;A and Floor Discussions</w:t>
            </w:r>
          </w:p>
        </w:tc>
        <w:tc>
          <w:tcPr>
            <w:tcW w:w="1617" w:type="dxa"/>
            <w:vAlign w:val="center"/>
            <w:hideMark/>
          </w:tcPr>
          <w:p w14:paraId="6CD8A6B3" w14:textId="14D6C174" w:rsidR="00D779CF" w:rsidRPr="00ED648B" w:rsidRDefault="00D779CF" w:rsidP="00ED648B"/>
        </w:tc>
        <w:tc>
          <w:tcPr>
            <w:tcW w:w="1845" w:type="dxa"/>
          </w:tcPr>
          <w:p w14:paraId="3D0D73AA" w14:textId="48916A80" w:rsidR="00D779CF" w:rsidRPr="00ED648B" w:rsidRDefault="00D779CF" w:rsidP="00ED648B">
            <w:r>
              <w:t>5:35 – 5:55PM</w:t>
            </w:r>
          </w:p>
        </w:tc>
      </w:tr>
      <w:tr w:rsidR="00D779CF" w:rsidRPr="00ED648B" w14:paraId="336CDF11" w14:textId="0E3D2E88" w:rsidTr="00D779CF">
        <w:trPr>
          <w:tblCellSpacing w:w="15" w:type="dxa"/>
        </w:trPr>
        <w:tc>
          <w:tcPr>
            <w:tcW w:w="0" w:type="auto"/>
            <w:vAlign w:val="center"/>
            <w:hideMark/>
          </w:tcPr>
          <w:p w14:paraId="0DCBC6AD" w14:textId="77777777" w:rsidR="00D779CF" w:rsidRPr="00ED648B" w:rsidRDefault="00D779CF" w:rsidP="00ED648B">
            <w:r w:rsidRPr="00ED648B">
              <w:rPr>
                <w:b/>
                <w:bCs/>
              </w:rPr>
              <w:t>Closing Remarks</w:t>
            </w:r>
          </w:p>
        </w:tc>
        <w:tc>
          <w:tcPr>
            <w:tcW w:w="1617" w:type="dxa"/>
            <w:vAlign w:val="center"/>
            <w:hideMark/>
          </w:tcPr>
          <w:p w14:paraId="5D918A20" w14:textId="509E8F66" w:rsidR="00D779CF" w:rsidRPr="00ED648B" w:rsidRDefault="00D779CF" w:rsidP="00ED648B"/>
        </w:tc>
        <w:tc>
          <w:tcPr>
            <w:tcW w:w="1845" w:type="dxa"/>
          </w:tcPr>
          <w:p w14:paraId="5C2EBED1" w14:textId="1C22EE2A" w:rsidR="00D779CF" w:rsidRPr="00ED648B" w:rsidRDefault="00D779CF" w:rsidP="00ED648B">
            <w:r>
              <w:t>5:55 – 6:00PM</w:t>
            </w:r>
          </w:p>
        </w:tc>
      </w:tr>
    </w:tbl>
    <w:p w14:paraId="72B66929" w14:textId="77777777" w:rsidR="00ED648B" w:rsidRPr="00ED648B" w:rsidRDefault="000351A1" w:rsidP="00ED648B">
      <w:r>
        <w:rPr>
          <w:noProof/>
        </w:rPr>
        <w:pict w14:anchorId="275B6525">
          <v:rect id="_x0000_i1027" alt="" style="width:468pt;height:.05pt;mso-width-percent:0;mso-height-percent:0;mso-width-percent:0;mso-height-percent:0" o:hralign="center" o:hrstd="t" o:hr="t" fillcolor="#a0a0a0" stroked="f"/>
        </w:pict>
      </w:r>
    </w:p>
    <w:p w14:paraId="5AED4FDD" w14:textId="77777777" w:rsidR="00ED648B" w:rsidRPr="00ED648B" w:rsidRDefault="00ED648B" w:rsidP="00ED648B">
      <w:pPr>
        <w:rPr>
          <w:b/>
          <w:bCs/>
        </w:rPr>
      </w:pPr>
      <w:r w:rsidRPr="00ED648B">
        <w:rPr>
          <w:b/>
          <w:bCs/>
        </w:rPr>
        <w:lastRenderedPageBreak/>
        <w:t>Theme 1: Accelerating Women’s Entrepreneurship Development in Africa</w:t>
      </w:r>
    </w:p>
    <w:p w14:paraId="5D1DC8CB" w14:textId="77777777" w:rsidR="00ED648B" w:rsidRPr="00ED648B" w:rsidRDefault="00ED648B" w:rsidP="00ED648B">
      <w:pPr>
        <w:rPr>
          <w:b/>
          <w:bCs/>
        </w:rPr>
      </w:pPr>
      <w:r w:rsidRPr="00ED648B">
        <w:rPr>
          <w:b/>
          <w:bCs/>
        </w:rPr>
        <w:t>Background and Context:</w:t>
      </w:r>
    </w:p>
    <w:p w14:paraId="5AAD0915" w14:textId="77777777" w:rsidR="00ED648B" w:rsidRPr="00ED648B" w:rsidRDefault="00ED648B" w:rsidP="00ED648B">
      <w:r w:rsidRPr="00ED648B">
        <w:t>Women’s entrepreneurship has immense potential to drive economic growth in Africa. However, systemic barriers such as limited access to finance, markets, and technology continue to hamper progress. The session will explore solutions to foster an enabling environment for women entrepreneurs, focusing on the role of digital technologies, policy frameworks, and partnerships.</w:t>
      </w:r>
    </w:p>
    <w:p w14:paraId="3B4255B4" w14:textId="77777777" w:rsidR="00ED648B" w:rsidRPr="00ED648B" w:rsidRDefault="00ED648B" w:rsidP="00ED648B">
      <w:pPr>
        <w:rPr>
          <w:b/>
          <w:bCs/>
        </w:rPr>
      </w:pPr>
      <w:r w:rsidRPr="00ED648B">
        <w:rPr>
          <w:b/>
          <w:bCs/>
        </w:rPr>
        <w:t>Key Questions:</w:t>
      </w:r>
    </w:p>
    <w:p w14:paraId="7ADEA384" w14:textId="77777777" w:rsidR="00ED648B" w:rsidRPr="00ED648B" w:rsidRDefault="00ED648B" w:rsidP="00ED648B">
      <w:pPr>
        <w:numPr>
          <w:ilvl w:val="0"/>
          <w:numId w:val="3"/>
        </w:numPr>
      </w:pPr>
      <w:r w:rsidRPr="00ED648B">
        <w:t>How can women’s entrepreneurial development serve as a catalyst for poverty reduction and sustainable human development?</w:t>
      </w:r>
    </w:p>
    <w:p w14:paraId="4A3409F2" w14:textId="77777777" w:rsidR="00ED648B" w:rsidRPr="00ED648B" w:rsidRDefault="00ED648B" w:rsidP="00ED648B">
      <w:pPr>
        <w:numPr>
          <w:ilvl w:val="0"/>
          <w:numId w:val="3"/>
        </w:numPr>
      </w:pPr>
      <w:r w:rsidRPr="00ED648B">
        <w:t>What innovative financing mechanisms support gender-responsive women’s economic empowerment?</w:t>
      </w:r>
    </w:p>
    <w:p w14:paraId="496E60A8" w14:textId="77777777" w:rsidR="00ED648B" w:rsidRPr="00ED648B" w:rsidRDefault="00ED648B" w:rsidP="00ED648B">
      <w:pPr>
        <w:numPr>
          <w:ilvl w:val="0"/>
          <w:numId w:val="3"/>
        </w:numPr>
      </w:pPr>
      <w:r w:rsidRPr="00ED648B">
        <w:t>What are the opportunities in the Africa Continental Free Trade Area (AfCFTA) for women entrepreneurs?</w:t>
      </w:r>
    </w:p>
    <w:p w14:paraId="2A7EDB68" w14:textId="77777777" w:rsidR="00ED648B" w:rsidRPr="00ED648B" w:rsidRDefault="00ED648B" w:rsidP="00ED648B">
      <w:pPr>
        <w:rPr>
          <w:b/>
          <w:bCs/>
        </w:rPr>
      </w:pPr>
      <w:r w:rsidRPr="00ED648B">
        <w:rPr>
          <w:b/>
          <w:bCs/>
        </w:rPr>
        <w:t>Expected Outcomes:</w:t>
      </w:r>
    </w:p>
    <w:p w14:paraId="5FB3FE78" w14:textId="77777777" w:rsidR="00ED648B" w:rsidRPr="00ED648B" w:rsidRDefault="00ED648B" w:rsidP="00ED648B">
      <w:pPr>
        <w:numPr>
          <w:ilvl w:val="0"/>
          <w:numId w:val="4"/>
        </w:numPr>
      </w:pPr>
      <w:r w:rsidRPr="00ED648B">
        <w:t>Increased international investment in women’s entrepreneurial development.</w:t>
      </w:r>
    </w:p>
    <w:p w14:paraId="17362BB2" w14:textId="77777777" w:rsidR="00ED648B" w:rsidRPr="00ED648B" w:rsidRDefault="00ED648B" w:rsidP="00ED648B">
      <w:pPr>
        <w:numPr>
          <w:ilvl w:val="0"/>
          <w:numId w:val="4"/>
        </w:numPr>
      </w:pPr>
      <w:r w:rsidRPr="00ED648B">
        <w:t>Commitments to developing gender-responsive policies and partnerships.</w:t>
      </w:r>
    </w:p>
    <w:p w14:paraId="143706EF" w14:textId="77777777" w:rsidR="00ED648B" w:rsidRPr="00ED648B" w:rsidRDefault="00ED648B" w:rsidP="00ED648B">
      <w:pPr>
        <w:numPr>
          <w:ilvl w:val="0"/>
          <w:numId w:val="4"/>
        </w:numPr>
      </w:pPr>
      <w:r w:rsidRPr="00ED648B">
        <w:t>Showcasing of good practices and successful case studies.</w:t>
      </w:r>
    </w:p>
    <w:p w14:paraId="1E11CC4D" w14:textId="77777777" w:rsidR="00ED648B" w:rsidRPr="00ED648B" w:rsidRDefault="000351A1" w:rsidP="00ED648B">
      <w:r>
        <w:rPr>
          <w:noProof/>
        </w:rPr>
        <w:pict w14:anchorId="7843FC5A">
          <v:rect id="_x0000_i1026" alt="" style="width:468pt;height:.05pt;mso-width-percent:0;mso-height-percent:0;mso-width-percent:0;mso-height-percent:0" o:hralign="center" o:hrstd="t" o:hr="t" fillcolor="#a0a0a0" stroked="f"/>
        </w:pict>
      </w:r>
    </w:p>
    <w:p w14:paraId="2BD778C5" w14:textId="77777777" w:rsidR="00ED648B" w:rsidRPr="00ED648B" w:rsidRDefault="00ED648B" w:rsidP="00ED648B">
      <w:pPr>
        <w:rPr>
          <w:b/>
          <w:bCs/>
        </w:rPr>
      </w:pPr>
      <w:r w:rsidRPr="00ED648B">
        <w:rPr>
          <w:b/>
          <w:bCs/>
        </w:rPr>
        <w:t>Theme 2: De-risking the Renewable Energy Viability Gap in Africa</w:t>
      </w:r>
    </w:p>
    <w:p w14:paraId="0440EC65" w14:textId="77777777" w:rsidR="00ED648B" w:rsidRPr="00ED648B" w:rsidRDefault="00ED648B" w:rsidP="00ED648B">
      <w:pPr>
        <w:rPr>
          <w:b/>
          <w:bCs/>
        </w:rPr>
      </w:pPr>
      <w:r w:rsidRPr="00ED648B">
        <w:rPr>
          <w:b/>
          <w:bCs/>
        </w:rPr>
        <w:t>Background and Context:</w:t>
      </w:r>
    </w:p>
    <w:p w14:paraId="49B99577" w14:textId="77777777" w:rsidR="00ED648B" w:rsidRPr="00ED648B" w:rsidRDefault="00ED648B" w:rsidP="00ED648B">
      <w:r w:rsidRPr="00ED648B">
        <w:t>The renewable energy sector in Africa holds immense potential but remains underfunded and underdeveloped due to various risks, including financial and infrastructural barriers. This session will delve into strategies to de-risk energy investments and make them attractive to private sector stakeholders.</w:t>
      </w:r>
    </w:p>
    <w:p w14:paraId="6FA7C79A" w14:textId="77777777" w:rsidR="00ED648B" w:rsidRPr="00ED648B" w:rsidRDefault="00ED648B" w:rsidP="00ED648B">
      <w:pPr>
        <w:rPr>
          <w:b/>
          <w:bCs/>
        </w:rPr>
      </w:pPr>
      <w:r w:rsidRPr="00ED648B">
        <w:rPr>
          <w:b/>
          <w:bCs/>
        </w:rPr>
        <w:t>Key Questions:</w:t>
      </w:r>
    </w:p>
    <w:p w14:paraId="12A142D4" w14:textId="77777777" w:rsidR="00ED648B" w:rsidRPr="00ED648B" w:rsidRDefault="00ED648B" w:rsidP="00ED648B">
      <w:pPr>
        <w:numPr>
          <w:ilvl w:val="0"/>
          <w:numId w:val="5"/>
        </w:numPr>
      </w:pPr>
      <w:r w:rsidRPr="00ED648B">
        <w:t>What factors contribute to the energy viability gap, and how can they be mitigated?</w:t>
      </w:r>
    </w:p>
    <w:p w14:paraId="4F8D7770" w14:textId="77777777" w:rsidR="00ED648B" w:rsidRPr="00ED648B" w:rsidRDefault="00ED648B" w:rsidP="00ED648B">
      <w:pPr>
        <w:numPr>
          <w:ilvl w:val="0"/>
          <w:numId w:val="5"/>
        </w:numPr>
      </w:pPr>
      <w:r w:rsidRPr="00ED648B">
        <w:t>What are some of the innovative financial instruments and risk mitigation strategies in the renewable energy sector?</w:t>
      </w:r>
    </w:p>
    <w:p w14:paraId="012BD4EA" w14:textId="77777777" w:rsidR="00ED648B" w:rsidRPr="00ED648B" w:rsidRDefault="00ED648B" w:rsidP="00ED648B">
      <w:pPr>
        <w:numPr>
          <w:ilvl w:val="0"/>
          <w:numId w:val="5"/>
        </w:numPr>
      </w:pPr>
      <w:r w:rsidRPr="00ED648B">
        <w:t>Which renewable energy business models have proven bankable in Africa?</w:t>
      </w:r>
    </w:p>
    <w:p w14:paraId="0993C497" w14:textId="77777777" w:rsidR="00ED648B" w:rsidRPr="00ED648B" w:rsidRDefault="00ED648B" w:rsidP="00ED648B">
      <w:pPr>
        <w:rPr>
          <w:b/>
          <w:bCs/>
        </w:rPr>
      </w:pPr>
      <w:r w:rsidRPr="00ED648B">
        <w:rPr>
          <w:b/>
          <w:bCs/>
        </w:rPr>
        <w:t>Expected Outcomes:</w:t>
      </w:r>
    </w:p>
    <w:p w14:paraId="04E99573" w14:textId="77777777" w:rsidR="00ED648B" w:rsidRPr="00ED648B" w:rsidRDefault="00ED648B" w:rsidP="00ED648B">
      <w:pPr>
        <w:numPr>
          <w:ilvl w:val="0"/>
          <w:numId w:val="6"/>
        </w:numPr>
      </w:pPr>
      <w:r w:rsidRPr="00ED648B">
        <w:t>Practical recommendations for de-risking energy investments.</w:t>
      </w:r>
    </w:p>
    <w:p w14:paraId="10170B6C" w14:textId="77777777" w:rsidR="00ED648B" w:rsidRPr="00ED648B" w:rsidRDefault="00ED648B" w:rsidP="00ED648B">
      <w:pPr>
        <w:numPr>
          <w:ilvl w:val="0"/>
          <w:numId w:val="6"/>
        </w:numPr>
      </w:pPr>
      <w:r w:rsidRPr="00ED648B">
        <w:t>New and renewed commitments to scale up renewable energy investments.</w:t>
      </w:r>
    </w:p>
    <w:p w14:paraId="5F1DF7A0" w14:textId="77777777" w:rsidR="00ED648B" w:rsidRPr="00ED648B" w:rsidRDefault="00ED648B" w:rsidP="00ED648B">
      <w:pPr>
        <w:numPr>
          <w:ilvl w:val="0"/>
          <w:numId w:val="6"/>
        </w:numPr>
      </w:pPr>
      <w:r w:rsidRPr="00ED648B">
        <w:t>Strengthened institutional frameworks for supporting renewable energy projects.</w:t>
      </w:r>
    </w:p>
    <w:p w14:paraId="1BB19EF7" w14:textId="77777777" w:rsidR="00ED648B" w:rsidRPr="00ED648B" w:rsidRDefault="000351A1" w:rsidP="00ED648B">
      <w:r>
        <w:rPr>
          <w:noProof/>
        </w:rPr>
        <w:pict w14:anchorId="63350693">
          <v:rect id="_x0000_i1025" alt="" style="width:468pt;height:.05pt;mso-width-percent:0;mso-height-percent:0;mso-width-percent:0;mso-height-percent:0" o:hralign="center" o:hrstd="t" o:hr="t" fillcolor="#a0a0a0" stroked="f"/>
        </w:pict>
      </w:r>
    </w:p>
    <w:p w14:paraId="082C1FD5" w14:textId="77777777" w:rsidR="00ED648B" w:rsidRPr="00ED648B" w:rsidRDefault="00ED648B" w:rsidP="00ED648B">
      <w:pPr>
        <w:rPr>
          <w:b/>
          <w:bCs/>
        </w:rPr>
      </w:pPr>
      <w:r w:rsidRPr="00ED648B">
        <w:rPr>
          <w:b/>
          <w:bCs/>
        </w:rPr>
        <w:t>Conclusion:</w:t>
      </w:r>
    </w:p>
    <w:p w14:paraId="1FCDE767" w14:textId="77777777" w:rsidR="00ED648B" w:rsidRPr="00ED648B" w:rsidRDefault="00ED648B" w:rsidP="00ED648B">
      <w:r w:rsidRPr="00ED648B">
        <w:t>The outcomes of this event will provide valuable insights and foster partnerships that are critical for advancing Africa's development agenda. By addressing these two pivotal areas—women’s entrepreneurship and renewable energy—this event will serve as a platform for transformative actions that ensure inclusive and sustainable development across the continent.</w:t>
      </w:r>
    </w:p>
    <w:p w14:paraId="6CE2DC59" w14:textId="77777777" w:rsidR="00ED648B" w:rsidRDefault="00ED648B" w:rsidP="00ED648B">
      <w:pPr>
        <w:rPr>
          <w:b/>
          <w:bCs/>
        </w:rPr>
      </w:pPr>
    </w:p>
    <w:p w14:paraId="693B6A26" w14:textId="46AF8B79" w:rsidR="000D2BC2" w:rsidRDefault="00ED648B" w:rsidP="00ED648B">
      <w:r w:rsidRPr="00ED648B">
        <w:rPr>
          <w:b/>
          <w:bCs/>
        </w:rPr>
        <w:t>Next Steps:</w:t>
      </w:r>
      <w:r w:rsidRPr="00ED648B">
        <w:t xml:space="preserve"> A summary report of the discussions and commitments made during the event will be shared with participants and stakeholders to guide future actions.</w:t>
      </w:r>
    </w:p>
    <w:sectPr w:rsidR="000D2BC2" w:rsidSect="002200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2634" w14:textId="77777777" w:rsidR="000351A1" w:rsidRDefault="000351A1" w:rsidP="002200AD">
      <w:r>
        <w:separator/>
      </w:r>
    </w:p>
  </w:endnote>
  <w:endnote w:type="continuationSeparator" w:id="0">
    <w:p w14:paraId="762CCF75" w14:textId="77777777" w:rsidR="000351A1" w:rsidRDefault="000351A1" w:rsidP="0022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FF3A" w14:textId="77777777" w:rsidR="002200AD" w:rsidRDefault="0022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B2CE" w14:textId="77777777" w:rsidR="002200AD" w:rsidRDefault="00220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FB0B" w14:textId="77777777" w:rsidR="002200AD" w:rsidRDefault="0022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DD10" w14:textId="77777777" w:rsidR="000351A1" w:rsidRDefault="000351A1" w:rsidP="002200AD">
      <w:r>
        <w:separator/>
      </w:r>
    </w:p>
  </w:footnote>
  <w:footnote w:type="continuationSeparator" w:id="0">
    <w:p w14:paraId="04FBE741" w14:textId="77777777" w:rsidR="000351A1" w:rsidRDefault="000351A1" w:rsidP="0022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B986" w14:textId="77777777" w:rsidR="002200AD" w:rsidRDefault="0022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ADD3" w14:textId="77777777" w:rsidR="002200AD" w:rsidRDefault="0022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BAED" w14:textId="2E2B2989" w:rsidR="002200AD" w:rsidRPr="002200AD" w:rsidRDefault="002200AD" w:rsidP="002200AD">
    <w:pPr>
      <w:jc w:val="right"/>
      <w:rPr>
        <w:b/>
        <w:bCs/>
        <w:sz w:val="28"/>
        <w:szCs w:val="28"/>
      </w:rPr>
    </w:pPr>
    <w:r w:rsidRPr="00ED648B">
      <w:rPr>
        <w:b/>
        <w:bCs/>
        <w:sz w:val="28"/>
        <w:szCs w:val="28"/>
      </w:rPr>
      <w:t>Guidance Note: 79th United Nations General Assembly Side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211"/>
    <w:multiLevelType w:val="multilevel"/>
    <w:tmpl w:val="AF8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6F6D"/>
    <w:multiLevelType w:val="multilevel"/>
    <w:tmpl w:val="D4B4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14317"/>
    <w:multiLevelType w:val="multilevel"/>
    <w:tmpl w:val="1C4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D3CFC"/>
    <w:multiLevelType w:val="multilevel"/>
    <w:tmpl w:val="8022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4495D"/>
    <w:multiLevelType w:val="multilevel"/>
    <w:tmpl w:val="814E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858A7"/>
    <w:multiLevelType w:val="multilevel"/>
    <w:tmpl w:val="92E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78996">
    <w:abstractNumId w:val="2"/>
  </w:num>
  <w:num w:numId="2" w16cid:durableId="1016660301">
    <w:abstractNumId w:val="4"/>
  </w:num>
  <w:num w:numId="3" w16cid:durableId="553586876">
    <w:abstractNumId w:val="5"/>
  </w:num>
  <w:num w:numId="4" w16cid:durableId="84037253">
    <w:abstractNumId w:val="3"/>
  </w:num>
  <w:num w:numId="5" w16cid:durableId="1872693251">
    <w:abstractNumId w:val="0"/>
  </w:num>
  <w:num w:numId="6" w16cid:durableId="137658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8B"/>
    <w:rsid w:val="0001447B"/>
    <w:rsid w:val="000351A1"/>
    <w:rsid w:val="000602B9"/>
    <w:rsid w:val="000D2BC2"/>
    <w:rsid w:val="002200AD"/>
    <w:rsid w:val="00485BD0"/>
    <w:rsid w:val="00581D5B"/>
    <w:rsid w:val="00626648"/>
    <w:rsid w:val="00654C39"/>
    <w:rsid w:val="006B7066"/>
    <w:rsid w:val="00703791"/>
    <w:rsid w:val="00BA5378"/>
    <w:rsid w:val="00BD2B4E"/>
    <w:rsid w:val="00C236F2"/>
    <w:rsid w:val="00D5318D"/>
    <w:rsid w:val="00D779CF"/>
    <w:rsid w:val="00D9041C"/>
    <w:rsid w:val="00ED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9A33"/>
  <w15:chartTrackingRefBased/>
  <w15:docId w15:val="{40B67312-A370-2644-8AC1-67567E22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48B"/>
    <w:rPr>
      <w:rFonts w:eastAsiaTheme="majorEastAsia" w:cstheme="majorBidi"/>
      <w:color w:val="272727" w:themeColor="text1" w:themeTint="D8"/>
    </w:rPr>
  </w:style>
  <w:style w:type="paragraph" w:styleId="Title">
    <w:name w:val="Title"/>
    <w:basedOn w:val="Normal"/>
    <w:next w:val="Normal"/>
    <w:link w:val="TitleChar"/>
    <w:uiPriority w:val="10"/>
    <w:qFormat/>
    <w:rsid w:val="00ED6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4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4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648B"/>
    <w:rPr>
      <w:i/>
      <w:iCs/>
      <w:color w:val="404040" w:themeColor="text1" w:themeTint="BF"/>
    </w:rPr>
  </w:style>
  <w:style w:type="paragraph" w:styleId="ListParagraph">
    <w:name w:val="List Paragraph"/>
    <w:basedOn w:val="Normal"/>
    <w:uiPriority w:val="34"/>
    <w:qFormat/>
    <w:rsid w:val="00ED648B"/>
    <w:pPr>
      <w:ind w:left="720"/>
      <w:contextualSpacing/>
    </w:pPr>
  </w:style>
  <w:style w:type="character" w:styleId="IntenseEmphasis">
    <w:name w:val="Intense Emphasis"/>
    <w:basedOn w:val="DefaultParagraphFont"/>
    <w:uiPriority w:val="21"/>
    <w:qFormat/>
    <w:rsid w:val="00ED648B"/>
    <w:rPr>
      <w:i/>
      <w:iCs/>
      <w:color w:val="0F4761" w:themeColor="accent1" w:themeShade="BF"/>
    </w:rPr>
  </w:style>
  <w:style w:type="paragraph" w:styleId="IntenseQuote">
    <w:name w:val="Intense Quote"/>
    <w:basedOn w:val="Normal"/>
    <w:next w:val="Normal"/>
    <w:link w:val="IntenseQuoteChar"/>
    <w:uiPriority w:val="30"/>
    <w:qFormat/>
    <w:rsid w:val="00ED6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48B"/>
    <w:rPr>
      <w:i/>
      <w:iCs/>
      <w:color w:val="0F4761" w:themeColor="accent1" w:themeShade="BF"/>
    </w:rPr>
  </w:style>
  <w:style w:type="character" w:styleId="IntenseReference">
    <w:name w:val="Intense Reference"/>
    <w:basedOn w:val="DefaultParagraphFont"/>
    <w:uiPriority w:val="32"/>
    <w:qFormat/>
    <w:rsid w:val="00ED648B"/>
    <w:rPr>
      <w:b/>
      <w:bCs/>
      <w:smallCaps/>
      <w:color w:val="0F4761" w:themeColor="accent1" w:themeShade="BF"/>
      <w:spacing w:val="5"/>
    </w:rPr>
  </w:style>
  <w:style w:type="paragraph" w:styleId="Header">
    <w:name w:val="header"/>
    <w:basedOn w:val="Normal"/>
    <w:link w:val="HeaderChar"/>
    <w:uiPriority w:val="99"/>
    <w:unhideWhenUsed/>
    <w:rsid w:val="002200AD"/>
    <w:pPr>
      <w:tabs>
        <w:tab w:val="center" w:pos="4680"/>
        <w:tab w:val="right" w:pos="9360"/>
      </w:tabs>
    </w:pPr>
  </w:style>
  <w:style w:type="character" w:customStyle="1" w:styleId="HeaderChar">
    <w:name w:val="Header Char"/>
    <w:basedOn w:val="DefaultParagraphFont"/>
    <w:link w:val="Header"/>
    <w:uiPriority w:val="99"/>
    <w:rsid w:val="002200AD"/>
  </w:style>
  <w:style w:type="paragraph" w:styleId="Footer">
    <w:name w:val="footer"/>
    <w:basedOn w:val="Normal"/>
    <w:link w:val="FooterChar"/>
    <w:uiPriority w:val="99"/>
    <w:unhideWhenUsed/>
    <w:rsid w:val="002200AD"/>
    <w:pPr>
      <w:tabs>
        <w:tab w:val="center" w:pos="4680"/>
        <w:tab w:val="right" w:pos="9360"/>
      </w:tabs>
    </w:pPr>
  </w:style>
  <w:style w:type="character" w:customStyle="1" w:styleId="FooterChar">
    <w:name w:val="Footer Char"/>
    <w:basedOn w:val="DefaultParagraphFont"/>
    <w:link w:val="Footer"/>
    <w:uiPriority w:val="99"/>
    <w:rsid w:val="0022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09262">
      <w:bodyDiv w:val="1"/>
      <w:marLeft w:val="0"/>
      <w:marRight w:val="0"/>
      <w:marTop w:val="0"/>
      <w:marBottom w:val="0"/>
      <w:divBdr>
        <w:top w:val="none" w:sz="0" w:space="0" w:color="auto"/>
        <w:left w:val="none" w:sz="0" w:space="0" w:color="auto"/>
        <w:bottom w:val="none" w:sz="0" w:space="0" w:color="auto"/>
        <w:right w:val="none" w:sz="0" w:space="0" w:color="auto"/>
      </w:divBdr>
    </w:div>
    <w:div w:id="9328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2024-09-04T19:36:00Z</dcterms:created>
  <dcterms:modified xsi:type="dcterms:W3CDTF">2024-09-04T19:36:00Z</dcterms:modified>
</cp:coreProperties>
</file>