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27E9326" w:rsidR="009F4FB8" w:rsidRPr="00F268E6" w:rsidRDefault="00273E12" w:rsidP="00273E12">
      <w:pPr>
        <w:jc w:val="both"/>
        <w:rPr>
          <w:rFonts w:eastAsia="Times New Roman"/>
          <w:b/>
          <w:sz w:val="24"/>
          <w:szCs w:val="24"/>
        </w:rPr>
      </w:pPr>
      <w:r w:rsidRPr="00F268E6">
        <w:rPr>
          <w:rFonts w:eastAsia="Times New Roman"/>
          <w:b/>
          <w:sz w:val="24"/>
          <w:szCs w:val="24"/>
        </w:rPr>
        <w:t xml:space="preserve">Note d’orientation : Manifestation parallèle de la </w:t>
      </w:r>
      <w:r w:rsidR="00000000" w:rsidRPr="00F268E6">
        <w:rPr>
          <w:rFonts w:eastAsia="Times New Roman"/>
          <w:b/>
          <w:sz w:val="24"/>
          <w:szCs w:val="24"/>
        </w:rPr>
        <w:t>79</w:t>
      </w:r>
      <w:r w:rsidRPr="00F268E6">
        <w:rPr>
          <w:rFonts w:eastAsia="Times New Roman"/>
          <w:b/>
          <w:sz w:val="24"/>
          <w:szCs w:val="24"/>
        </w:rPr>
        <w:t>ème</w:t>
      </w:r>
      <w:r w:rsidR="00000000" w:rsidRPr="00F268E6">
        <w:rPr>
          <w:rFonts w:eastAsia="Times New Roman"/>
          <w:b/>
          <w:sz w:val="24"/>
          <w:szCs w:val="24"/>
        </w:rPr>
        <w:t xml:space="preserve"> </w:t>
      </w:r>
      <w:r w:rsidR="00F268E6">
        <w:rPr>
          <w:rFonts w:eastAsia="Times New Roman"/>
          <w:b/>
          <w:sz w:val="24"/>
          <w:szCs w:val="24"/>
        </w:rPr>
        <w:t>session de l’</w:t>
      </w:r>
      <w:r w:rsidR="00000000" w:rsidRPr="00F268E6">
        <w:rPr>
          <w:rFonts w:eastAsia="Times New Roman"/>
          <w:b/>
          <w:sz w:val="24"/>
          <w:szCs w:val="24"/>
        </w:rPr>
        <w:t>Assemblée générale de</w:t>
      </w:r>
      <w:r w:rsidRPr="00F268E6">
        <w:rPr>
          <w:rFonts w:eastAsia="Times New Roman"/>
          <w:b/>
          <w:sz w:val="24"/>
          <w:szCs w:val="24"/>
        </w:rPr>
        <w:t xml:space="preserve"> l’ONU</w:t>
      </w:r>
    </w:p>
    <w:p w14:paraId="00000002" w14:textId="0B49EFF0" w:rsidR="009F4FB8" w:rsidRPr="00F268E6" w:rsidRDefault="009F4FB8" w:rsidP="00273E12">
      <w:pPr>
        <w:jc w:val="both"/>
        <w:rPr>
          <w:rFonts w:eastAsia="Times New Roman"/>
          <w:b/>
          <w:sz w:val="24"/>
          <w:szCs w:val="24"/>
        </w:rPr>
      </w:pPr>
    </w:p>
    <w:p w14:paraId="4790E69D" w14:textId="77777777" w:rsidR="00273E12" w:rsidRPr="00F268E6" w:rsidRDefault="00273E12">
      <w:pPr>
        <w:jc w:val="both"/>
        <w:rPr>
          <w:rFonts w:eastAsia="Times New Roman"/>
          <w:b/>
          <w:sz w:val="24"/>
          <w:szCs w:val="24"/>
        </w:rPr>
      </w:pPr>
      <w:r w:rsidRPr="00F268E6">
        <w:rPr>
          <w:rFonts w:eastAsia="Times New Roman"/>
          <w:b/>
          <w:sz w:val="24"/>
          <w:szCs w:val="24"/>
        </w:rPr>
        <w:t>Titre de la manifestation :</w:t>
      </w:r>
    </w:p>
    <w:p w14:paraId="00000005" w14:textId="0CDFEAA1" w:rsidR="009F4FB8" w:rsidRPr="00F268E6" w:rsidRDefault="00000000" w:rsidP="00273E12">
      <w:pPr>
        <w:jc w:val="both"/>
        <w:rPr>
          <w:rFonts w:eastAsia="Times New Roman"/>
          <w:bCs/>
          <w:iCs/>
          <w:sz w:val="24"/>
          <w:szCs w:val="24"/>
        </w:rPr>
      </w:pPr>
      <w:r w:rsidRPr="00F268E6">
        <w:rPr>
          <w:rFonts w:eastAsia="Times New Roman"/>
          <w:bCs/>
          <w:iCs/>
          <w:sz w:val="24"/>
          <w:szCs w:val="24"/>
        </w:rPr>
        <w:t>Accélérer le développement de l'entrepreneuriat féminin en Afrique :</w:t>
      </w:r>
      <w:r w:rsidR="00273E12" w:rsidRPr="00F268E6">
        <w:rPr>
          <w:rFonts w:eastAsia="Times New Roman"/>
          <w:bCs/>
          <w:iCs/>
          <w:sz w:val="24"/>
          <w:szCs w:val="24"/>
        </w:rPr>
        <w:t xml:space="preserve"> </w:t>
      </w:r>
      <w:r w:rsidRPr="00F268E6">
        <w:rPr>
          <w:rFonts w:eastAsia="Times New Roman"/>
          <w:bCs/>
          <w:iCs/>
          <w:sz w:val="24"/>
          <w:szCs w:val="24"/>
        </w:rPr>
        <w:t>Un</w:t>
      </w:r>
      <w:r w:rsidR="00273E12" w:rsidRPr="00F268E6">
        <w:rPr>
          <w:rFonts w:eastAsia="Times New Roman"/>
          <w:bCs/>
          <w:iCs/>
          <w:sz w:val="24"/>
          <w:szCs w:val="24"/>
        </w:rPr>
        <w:t xml:space="preserve"> élément moteur </w:t>
      </w:r>
      <w:r w:rsidRPr="00F268E6">
        <w:rPr>
          <w:rFonts w:eastAsia="Times New Roman"/>
          <w:bCs/>
          <w:iCs/>
          <w:sz w:val="24"/>
          <w:szCs w:val="24"/>
        </w:rPr>
        <w:t>pour un développement inc</w:t>
      </w:r>
      <w:r w:rsidR="00273E12" w:rsidRPr="00F268E6">
        <w:rPr>
          <w:rFonts w:eastAsia="Times New Roman"/>
          <w:bCs/>
          <w:iCs/>
          <w:sz w:val="24"/>
          <w:szCs w:val="24"/>
        </w:rPr>
        <w:t>lusif</w:t>
      </w:r>
    </w:p>
    <w:p w14:paraId="1919872F" w14:textId="16B1B952" w:rsidR="00273E12" w:rsidRPr="00F268E6" w:rsidRDefault="00273E12" w:rsidP="00273E12">
      <w:pPr>
        <w:jc w:val="both"/>
        <w:rPr>
          <w:rFonts w:eastAsia="Times New Roman"/>
          <w:bCs/>
          <w:iCs/>
          <w:sz w:val="24"/>
          <w:szCs w:val="24"/>
        </w:rPr>
      </w:pPr>
      <w:r w:rsidRPr="00F268E6">
        <w:rPr>
          <w:rFonts w:eastAsia="Times New Roman"/>
          <w:bCs/>
          <w:iCs/>
          <w:sz w:val="24"/>
          <w:szCs w:val="24"/>
        </w:rPr>
        <w:t xml:space="preserve">Réduire les risques </w:t>
      </w:r>
      <w:r w:rsidR="00F268E6">
        <w:rPr>
          <w:rFonts w:eastAsia="Times New Roman"/>
          <w:bCs/>
          <w:iCs/>
          <w:sz w:val="24"/>
          <w:szCs w:val="24"/>
        </w:rPr>
        <w:t xml:space="preserve">liés </w:t>
      </w:r>
      <w:r w:rsidR="00D2405C">
        <w:rPr>
          <w:rFonts w:eastAsia="Times New Roman"/>
          <w:bCs/>
          <w:iCs/>
          <w:sz w:val="24"/>
          <w:szCs w:val="24"/>
        </w:rPr>
        <w:t>au déficit</w:t>
      </w:r>
      <w:r w:rsidRPr="00F268E6">
        <w:rPr>
          <w:rFonts w:eastAsia="Times New Roman"/>
          <w:bCs/>
          <w:iCs/>
          <w:sz w:val="24"/>
          <w:szCs w:val="24"/>
        </w:rPr>
        <w:t xml:space="preserve"> de viabilité de</w:t>
      </w:r>
      <w:r w:rsidR="00C46217">
        <w:rPr>
          <w:rFonts w:eastAsia="Times New Roman"/>
          <w:bCs/>
          <w:iCs/>
          <w:sz w:val="24"/>
          <w:szCs w:val="24"/>
        </w:rPr>
        <w:t xml:space="preserve">s </w:t>
      </w:r>
      <w:r w:rsidRPr="00F268E6">
        <w:rPr>
          <w:rFonts w:eastAsia="Times New Roman"/>
          <w:bCs/>
          <w:iCs/>
          <w:sz w:val="24"/>
          <w:szCs w:val="24"/>
        </w:rPr>
        <w:t>énergie</w:t>
      </w:r>
      <w:r w:rsidR="00C46217">
        <w:rPr>
          <w:rFonts w:eastAsia="Times New Roman"/>
          <w:bCs/>
          <w:iCs/>
          <w:sz w:val="24"/>
          <w:szCs w:val="24"/>
        </w:rPr>
        <w:t>s</w:t>
      </w:r>
      <w:r w:rsidRPr="00F268E6">
        <w:rPr>
          <w:rFonts w:eastAsia="Times New Roman"/>
          <w:bCs/>
          <w:iCs/>
          <w:sz w:val="24"/>
          <w:szCs w:val="24"/>
        </w:rPr>
        <w:t xml:space="preserve"> renouvelable</w:t>
      </w:r>
      <w:r w:rsidR="00C46217">
        <w:rPr>
          <w:rFonts w:eastAsia="Times New Roman"/>
          <w:bCs/>
          <w:iCs/>
          <w:sz w:val="24"/>
          <w:szCs w:val="24"/>
        </w:rPr>
        <w:t>s</w:t>
      </w:r>
      <w:r w:rsidRPr="00F268E6">
        <w:rPr>
          <w:rFonts w:eastAsia="Times New Roman"/>
          <w:bCs/>
          <w:iCs/>
          <w:sz w:val="24"/>
          <w:szCs w:val="24"/>
        </w:rPr>
        <w:t xml:space="preserve"> en Afrique</w:t>
      </w:r>
    </w:p>
    <w:p w14:paraId="00000006" w14:textId="1C543F09" w:rsidR="009F4FB8" w:rsidRPr="00F268E6" w:rsidRDefault="00000000">
      <w:pPr>
        <w:ind w:firstLine="720"/>
        <w:jc w:val="both"/>
        <w:rPr>
          <w:rFonts w:eastAsia="Times New Roman"/>
          <w:b/>
          <w:i/>
          <w:sz w:val="24"/>
          <w:szCs w:val="24"/>
        </w:rPr>
      </w:pPr>
      <w:r w:rsidRPr="00F268E6">
        <w:rPr>
          <w:rFonts w:eastAsia="Times New Roman"/>
          <w:b/>
          <w:i/>
          <w:sz w:val="24"/>
          <w:szCs w:val="24"/>
        </w:rPr>
        <w:t xml:space="preserve">    </w:t>
      </w:r>
    </w:p>
    <w:p w14:paraId="00000007" w14:textId="77777777" w:rsidR="009F4FB8" w:rsidRPr="00F268E6" w:rsidRDefault="009F4FB8">
      <w:pPr>
        <w:jc w:val="both"/>
        <w:rPr>
          <w:i/>
          <w:sz w:val="24"/>
          <w:szCs w:val="24"/>
        </w:rPr>
      </w:pPr>
    </w:p>
    <w:p w14:paraId="00000008" w14:textId="5CB7CAEB" w:rsidR="009F4FB8" w:rsidRPr="00F268E6" w:rsidRDefault="00273E12">
      <w:pPr>
        <w:jc w:val="both"/>
        <w:rPr>
          <w:b/>
          <w:bCs/>
          <w:sz w:val="24"/>
          <w:szCs w:val="24"/>
        </w:rPr>
      </w:pPr>
      <w:r w:rsidRPr="00F268E6">
        <w:rPr>
          <w:b/>
          <w:bCs/>
          <w:sz w:val="24"/>
          <w:szCs w:val="24"/>
        </w:rPr>
        <w:t>Date et heure :</w:t>
      </w:r>
    </w:p>
    <w:p w14:paraId="030A172E" w14:textId="62D7EF65" w:rsidR="00273E12" w:rsidRPr="00F268E6" w:rsidRDefault="00273E12">
      <w:pPr>
        <w:jc w:val="both"/>
        <w:rPr>
          <w:sz w:val="24"/>
          <w:szCs w:val="24"/>
        </w:rPr>
      </w:pPr>
      <w:r w:rsidRPr="00F268E6">
        <w:rPr>
          <w:sz w:val="24"/>
          <w:szCs w:val="24"/>
        </w:rPr>
        <w:t>23 septembre 2024, 15h – 18 h</w:t>
      </w:r>
    </w:p>
    <w:p w14:paraId="0000000D" w14:textId="36221E6D" w:rsidR="009F4FB8" w:rsidRPr="00F268E6" w:rsidRDefault="00273E12">
      <w:pPr>
        <w:jc w:val="both"/>
        <w:rPr>
          <w:rFonts w:eastAsia="Times New Roman"/>
          <w:sz w:val="24"/>
          <w:szCs w:val="24"/>
        </w:rPr>
      </w:pPr>
      <w:r w:rsidRPr="00F268E6">
        <w:rPr>
          <w:b/>
          <w:bCs/>
          <w:sz w:val="24"/>
          <w:szCs w:val="24"/>
        </w:rPr>
        <w:t xml:space="preserve">Lieu : </w:t>
      </w:r>
      <w:r w:rsidR="00000000" w:rsidRPr="00F268E6">
        <w:rPr>
          <w:rFonts w:eastAsia="Times New Roman"/>
          <w:sz w:val="24"/>
          <w:szCs w:val="24"/>
        </w:rPr>
        <w:t>Salle de conférence 12 du Secrétariat de l'ONU</w:t>
      </w:r>
    </w:p>
    <w:p w14:paraId="25391DEF" w14:textId="77777777" w:rsidR="00273E12" w:rsidRPr="00F268E6" w:rsidRDefault="00273E12">
      <w:pPr>
        <w:jc w:val="both"/>
        <w:rPr>
          <w:rFonts w:eastAsia="Times New Roman"/>
          <w:sz w:val="24"/>
          <w:szCs w:val="24"/>
        </w:rPr>
      </w:pPr>
    </w:p>
    <w:p w14:paraId="3820A2AB" w14:textId="5AB68189" w:rsidR="00273E12" w:rsidRPr="00F268E6" w:rsidRDefault="00F268E6">
      <w:pPr>
        <w:jc w:val="both"/>
        <w:rPr>
          <w:b/>
          <w:bCs/>
          <w:sz w:val="24"/>
          <w:szCs w:val="24"/>
        </w:rPr>
      </w:pPr>
      <w:r w:rsidRPr="00F268E6">
        <w:rPr>
          <w:b/>
          <w:bCs/>
          <w:sz w:val="24"/>
          <w:szCs w:val="24"/>
        </w:rPr>
        <w:t>Institutions hôtes :</w:t>
      </w:r>
    </w:p>
    <w:p w14:paraId="221B625C" w14:textId="332D87C4" w:rsidR="00F268E6" w:rsidRPr="00F268E6" w:rsidRDefault="00F268E6" w:rsidP="00F268E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F268E6">
        <w:rPr>
          <w:sz w:val="24"/>
          <w:szCs w:val="24"/>
        </w:rPr>
        <w:t>PNUD Zimbabwe</w:t>
      </w:r>
    </w:p>
    <w:p w14:paraId="05F06F09" w14:textId="01193324" w:rsidR="00F268E6" w:rsidRPr="00F268E6" w:rsidRDefault="00F268E6" w:rsidP="00F268E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F268E6">
        <w:rPr>
          <w:sz w:val="24"/>
          <w:szCs w:val="24"/>
        </w:rPr>
        <w:t>Gouvernement du Zimbabwe</w:t>
      </w:r>
    </w:p>
    <w:p w14:paraId="0000000E" w14:textId="77777777" w:rsidR="009F4FB8" w:rsidRPr="00F268E6" w:rsidRDefault="009F4FB8">
      <w:pPr>
        <w:jc w:val="both"/>
        <w:rPr>
          <w:rFonts w:eastAsia="Times New Roman"/>
          <w:sz w:val="24"/>
          <w:szCs w:val="24"/>
        </w:rPr>
      </w:pPr>
    </w:p>
    <w:p w14:paraId="5190C967" w14:textId="4FED78FD" w:rsidR="00F268E6" w:rsidRPr="00F268E6" w:rsidRDefault="00F268E6" w:rsidP="00F268E6">
      <w:pPr>
        <w:jc w:val="both"/>
        <w:rPr>
          <w:b/>
          <w:bCs/>
        </w:rPr>
      </w:pPr>
      <w:r w:rsidRPr="00F268E6">
        <w:rPr>
          <w:b/>
          <w:bCs/>
        </w:rPr>
        <w:t>Introduction :</w:t>
      </w:r>
    </w:p>
    <w:p w14:paraId="016A335A" w14:textId="4B985341" w:rsidR="00F268E6" w:rsidRDefault="00F268E6" w:rsidP="00F268E6">
      <w:pPr>
        <w:jc w:val="both"/>
      </w:pPr>
      <w:r>
        <w:t>Cet</w:t>
      </w:r>
      <w:r>
        <w:t>te manifestation</w:t>
      </w:r>
      <w:r>
        <w:t xml:space="preserve"> parallèle de haut niveau </w:t>
      </w:r>
      <w:r>
        <w:t xml:space="preserve">qui se tiendra </w:t>
      </w:r>
      <w:r>
        <w:t>à l</w:t>
      </w:r>
      <w:r>
        <w:t>’occasion de la</w:t>
      </w:r>
      <w:r>
        <w:t xml:space="preserve"> 79</w:t>
      </w:r>
      <w:r>
        <w:t>ème</w:t>
      </w:r>
      <w:r>
        <w:t xml:space="preserve"> </w:t>
      </w:r>
      <w:r>
        <w:t>session de l’</w:t>
      </w:r>
      <w:r>
        <w:t>Assemblée générale de</w:t>
      </w:r>
      <w:r>
        <w:t xml:space="preserve"> l’ONU</w:t>
      </w:r>
      <w:r>
        <w:t xml:space="preserve"> abordera deux</w:t>
      </w:r>
      <w:r>
        <w:t xml:space="preserve"> </w:t>
      </w:r>
      <w:r w:rsidR="007C61AB">
        <w:t>questions</w:t>
      </w:r>
      <w:r>
        <w:t xml:space="preserve"> essentiel</w:t>
      </w:r>
      <w:r w:rsidR="007C61AB">
        <w:t>le</w:t>
      </w:r>
      <w:r>
        <w:t>s pour le développement de l'Afrique :</w:t>
      </w:r>
    </w:p>
    <w:p w14:paraId="6240C2DC" w14:textId="4BBA7319" w:rsidR="00F268E6" w:rsidRDefault="00F268E6" w:rsidP="00F268E6">
      <w:pPr>
        <w:ind w:left="720"/>
        <w:jc w:val="both"/>
      </w:pPr>
      <w:r>
        <w:rPr>
          <w:b/>
        </w:rPr>
        <w:t xml:space="preserve">1. Accélérer le développement de l'entrepreneuriat féminin en Afrique : </w:t>
      </w:r>
      <w:r>
        <w:t>Ce</w:t>
      </w:r>
      <w:r w:rsidR="00C04EAC">
        <w:t>tte</w:t>
      </w:r>
      <w:r>
        <w:t xml:space="preserve"> </w:t>
      </w:r>
      <w:r w:rsidR="009967D2">
        <w:t>question</w:t>
      </w:r>
      <w:r>
        <w:t xml:space="preserve"> met</w:t>
      </w:r>
      <w:r w:rsidR="009967D2">
        <w:t>tra</w:t>
      </w:r>
      <w:r>
        <w:t xml:space="preserve"> l'accent sur l'autonomisation des femmes en tant qu</w:t>
      </w:r>
      <w:r>
        <w:t>’acteu</w:t>
      </w:r>
      <w:r>
        <w:t>rs clés de la croissance économique et de la transformation sociale sur tout le continent.</w:t>
      </w:r>
    </w:p>
    <w:p w14:paraId="6980507B" w14:textId="048D152D" w:rsidR="00F268E6" w:rsidRDefault="00F268E6" w:rsidP="00C04EAC">
      <w:pPr>
        <w:ind w:left="720"/>
        <w:jc w:val="both"/>
      </w:pPr>
      <w:r>
        <w:rPr>
          <w:b/>
        </w:rPr>
        <w:t xml:space="preserve">2. Réduire les risques liés </w:t>
      </w:r>
      <w:r w:rsidR="008464ED">
        <w:rPr>
          <w:b/>
        </w:rPr>
        <w:t>au déficit</w:t>
      </w:r>
      <w:r>
        <w:rPr>
          <w:b/>
        </w:rPr>
        <w:t xml:space="preserve"> de viabilité de</w:t>
      </w:r>
      <w:r w:rsidR="0072517C">
        <w:rPr>
          <w:b/>
        </w:rPr>
        <w:t xml:space="preserve">s </w:t>
      </w:r>
      <w:r>
        <w:rPr>
          <w:b/>
        </w:rPr>
        <w:t>énergie</w:t>
      </w:r>
      <w:r w:rsidR="0072517C">
        <w:rPr>
          <w:b/>
        </w:rPr>
        <w:t>s</w:t>
      </w:r>
      <w:r>
        <w:rPr>
          <w:b/>
        </w:rPr>
        <w:t xml:space="preserve"> renouvelable</w:t>
      </w:r>
      <w:r w:rsidR="0072517C">
        <w:rPr>
          <w:b/>
        </w:rPr>
        <w:t>s</w:t>
      </w:r>
      <w:r>
        <w:rPr>
          <w:b/>
        </w:rPr>
        <w:t xml:space="preserve"> en Afrique: </w:t>
      </w:r>
      <w:r w:rsidR="00C04EAC">
        <w:t>C</w:t>
      </w:r>
      <w:r>
        <w:t>e</w:t>
      </w:r>
      <w:r w:rsidR="00C04EAC">
        <w:t>tte</w:t>
      </w:r>
      <w:r>
        <w:t xml:space="preserve"> </w:t>
      </w:r>
      <w:r w:rsidR="009967D2">
        <w:t>question</w:t>
      </w:r>
      <w:r w:rsidR="00C04EAC">
        <w:t xml:space="preserve"> se proposera d’</w:t>
      </w:r>
      <w:r>
        <w:t>examine</w:t>
      </w:r>
      <w:r w:rsidR="00C04EAC">
        <w:t>r</w:t>
      </w:r>
      <w:r>
        <w:t xml:space="preserve"> les solutions permettant de combler l’écart entre les aspirations en matière d’énergies renouvelables et</w:t>
      </w:r>
      <w:r w:rsidR="00C04EAC">
        <w:t xml:space="preserve"> </w:t>
      </w:r>
      <w:r>
        <w:t xml:space="preserve">les défis </w:t>
      </w:r>
      <w:r w:rsidR="008727F1">
        <w:t xml:space="preserve">d’ordre </w:t>
      </w:r>
      <w:r>
        <w:t>financier, infrastructurel et institutionnel qui entravent les investissements.</w:t>
      </w:r>
    </w:p>
    <w:p w14:paraId="7A9C6CD3" w14:textId="34AB22A8" w:rsidR="00F268E6" w:rsidRDefault="00F268E6" w:rsidP="00F268E6">
      <w:pPr>
        <w:jc w:val="both"/>
      </w:pPr>
      <w:r>
        <w:t>Ces d</w:t>
      </w:r>
      <w:r w:rsidR="0095544C">
        <w:t>ébats</w:t>
      </w:r>
      <w:r>
        <w:t xml:space="preserve"> visent à </w:t>
      </w:r>
      <w:r w:rsidR="0095544C">
        <w:t>proposer</w:t>
      </w:r>
      <w:r>
        <w:t xml:space="preserve"> des </w:t>
      </w:r>
      <w:r w:rsidR="0095544C">
        <w:t>solution</w:t>
      </w:r>
      <w:r>
        <w:t xml:space="preserve">s concrètes </w:t>
      </w:r>
      <w:r w:rsidR="00C04C24">
        <w:t>pour</w:t>
      </w:r>
      <w:r>
        <w:t xml:space="preserve"> </w:t>
      </w:r>
      <w:r w:rsidR="0095544C">
        <w:t xml:space="preserve">mettre en œuvre </w:t>
      </w:r>
      <w:r>
        <w:t xml:space="preserve">des écosystèmes d'entrepreneuriat sensibles au genre et des modèles d’énergies renouvelables </w:t>
      </w:r>
      <w:r w:rsidR="00C04C24">
        <w:t>viables financièrement</w:t>
      </w:r>
      <w:r>
        <w:t xml:space="preserve">, </w:t>
      </w:r>
      <w:r w:rsidR="00C04C24">
        <w:t>lesquels</w:t>
      </w:r>
      <w:r>
        <w:t xml:space="preserve"> sont essentiels pour </w:t>
      </w:r>
      <w:r w:rsidR="0095544C">
        <w:t>réaliser</w:t>
      </w:r>
      <w:r>
        <w:t xml:space="preserve"> les Objectifs de développement durable (ODD) de l’Afrique.</w:t>
      </w:r>
    </w:p>
    <w:p w14:paraId="5E07DB4D" w14:textId="77777777" w:rsidR="00F268E6" w:rsidRDefault="00F268E6" w:rsidP="00F268E6">
      <w:pPr>
        <w:jc w:val="both"/>
        <w:rPr>
          <w:b/>
        </w:rPr>
      </w:pPr>
      <w:r>
        <w:rPr>
          <w:b/>
        </w:rPr>
        <w:t>Objectif :</w:t>
      </w:r>
    </w:p>
    <w:p w14:paraId="1CA16D0A" w14:textId="7FF6668A" w:rsidR="00F268E6" w:rsidRDefault="00F268E6" w:rsidP="00F268E6">
      <w:pPr>
        <w:jc w:val="both"/>
      </w:pPr>
      <w:r>
        <w:t>L’objectif g</w:t>
      </w:r>
      <w:r w:rsidR="00C04C24">
        <w:t>lobal</w:t>
      </w:r>
      <w:r>
        <w:t xml:space="preserve"> de cet</w:t>
      </w:r>
      <w:r w:rsidR="00C04C24">
        <w:t>te manifestation</w:t>
      </w:r>
      <w:r>
        <w:t xml:space="preserve"> parallèle est de </w:t>
      </w:r>
      <w:r w:rsidR="00B13226">
        <w:t>nou</w:t>
      </w:r>
      <w:r w:rsidR="00C04C24">
        <w:t>er un</w:t>
      </w:r>
      <w:r>
        <w:t xml:space="preserve"> dialogue, de favoriser les partenariats et</w:t>
      </w:r>
      <w:r w:rsidR="00C04C24">
        <w:t xml:space="preserve"> </w:t>
      </w:r>
      <w:r>
        <w:t>de générer des engagements concrets pour le développement de l’Afrique dans les domaines de l’entrepreneuriat féminin et de</w:t>
      </w:r>
      <w:r w:rsidR="00F20AD9">
        <w:t xml:space="preserve">s </w:t>
      </w:r>
      <w:r>
        <w:t>énergie</w:t>
      </w:r>
      <w:r w:rsidR="00F20AD9">
        <w:t>s</w:t>
      </w:r>
      <w:r>
        <w:t xml:space="preserve"> renouvelable</w:t>
      </w:r>
      <w:r w:rsidR="00F20AD9">
        <w:t>s</w:t>
      </w:r>
      <w:r>
        <w:t>.</w:t>
      </w:r>
    </w:p>
    <w:p w14:paraId="77E0E4FB" w14:textId="6AC844BC" w:rsidR="00F268E6" w:rsidRDefault="00F268E6" w:rsidP="00F268E6">
      <w:pPr>
        <w:jc w:val="both"/>
        <w:rPr>
          <w:b/>
        </w:rPr>
      </w:pPr>
      <w:r>
        <w:rPr>
          <w:b/>
        </w:rPr>
        <w:t xml:space="preserve">Format des </w:t>
      </w:r>
      <w:r w:rsidR="00B13226">
        <w:rPr>
          <w:b/>
        </w:rPr>
        <w:t>manifestation</w:t>
      </w:r>
      <w:r>
        <w:rPr>
          <w:b/>
        </w:rPr>
        <w:t>s :</w:t>
      </w:r>
    </w:p>
    <w:p w14:paraId="09BD74E9" w14:textId="77777777" w:rsidR="00F268E6" w:rsidRDefault="00F268E6" w:rsidP="00F268E6">
      <w:pPr>
        <w:jc w:val="both"/>
      </w:pPr>
      <w:r>
        <w:t>La session sera divisée en deux segments principaux, chacun abordant l’un des</w:t>
      </w:r>
    </w:p>
    <w:p w14:paraId="443ACEB5" w14:textId="77777777" w:rsidR="00F268E6" w:rsidRDefault="00F268E6" w:rsidP="00F268E6">
      <w:pPr>
        <w:jc w:val="both"/>
      </w:pPr>
      <w:r>
        <w:t>thèmes.</w:t>
      </w:r>
    </w:p>
    <w:p w14:paraId="1F18DB36" w14:textId="77777777" w:rsidR="00F268E6" w:rsidRDefault="00F268E6" w:rsidP="00F268E6">
      <w:pPr>
        <w:rPr>
          <w:b/>
        </w:rPr>
      </w:pPr>
      <w:r>
        <w:rPr>
          <w:b/>
        </w:rPr>
        <w:t>Rôles et activités :</w:t>
      </w:r>
    </w:p>
    <w:p w14:paraId="179E57D9" w14:textId="77777777" w:rsidR="00F268E6" w:rsidRDefault="00F268E6" w:rsidP="00F268E6"/>
    <w:p w14:paraId="309CE046" w14:textId="77777777" w:rsidR="00F268E6" w:rsidRDefault="00F268E6" w:rsidP="00F268E6"/>
    <w:p w14:paraId="0D549900" w14:textId="77777777" w:rsidR="00F268E6" w:rsidRDefault="00F268E6" w:rsidP="00F268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9F7FC8" w14:paraId="64B1C810" w14:textId="77777777" w:rsidTr="00A10857">
        <w:tc>
          <w:tcPr>
            <w:tcW w:w="3006" w:type="dxa"/>
            <w:vMerge w:val="restart"/>
          </w:tcPr>
          <w:p w14:paraId="05C2D911" w14:textId="1EC5FAAD" w:rsidR="009F7FC8" w:rsidRDefault="009F7FC8" w:rsidP="009F7FC8">
            <w:pPr>
              <w:jc w:val="center"/>
            </w:pPr>
            <w:r>
              <w:t>Activité</w:t>
            </w:r>
          </w:p>
        </w:tc>
        <w:tc>
          <w:tcPr>
            <w:tcW w:w="6013" w:type="dxa"/>
            <w:gridSpan w:val="2"/>
          </w:tcPr>
          <w:p w14:paraId="77DC97A0" w14:textId="5BC574D0" w:rsidR="009F7FC8" w:rsidRDefault="009F7FC8" w:rsidP="00F268E6">
            <w:r>
              <w:t xml:space="preserve">Thèmes </w:t>
            </w:r>
          </w:p>
        </w:tc>
      </w:tr>
      <w:tr w:rsidR="009F7FC8" w14:paraId="083BFC5F" w14:textId="77777777" w:rsidTr="005C770C">
        <w:tc>
          <w:tcPr>
            <w:tcW w:w="3006" w:type="dxa"/>
            <w:vMerge/>
          </w:tcPr>
          <w:p w14:paraId="1355003B" w14:textId="77777777" w:rsidR="009F7FC8" w:rsidRDefault="009F7FC8" w:rsidP="00F268E6"/>
        </w:tc>
        <w:tc>
          <w:tcPr>
            <w:tcW w:w="3006" w:type="dxa"/>
          </w:tcPr>
          <w:p w14:paraId="3EF698EC" w14:textId="678758C9" w:rsidR="009F7FC8" w:rsidRDefault="009F7FC8" w:rsidP="00F268E6">
            <w:r>
              <w:t xml:space="preserve">Genre </w:t>
            </w:r>
          </w:p>
        </w:tc>
        <w:tc>
          <w:tcPr>
            <w:tcW w:w="3007" w:type="dxa"/>
          </w:tcPr>
          <w:p w14:paraId="15556623" w14:textId="43B8D7E7" w:rsidR="009F7FC8" w:rsidRDefault="009F7FC8" w:rsidP="00F268E6">
            <w:r>
              <w:t xml:space="preserve">Énergie </w:t>
            </w:r>
          </w:p>
        </w:tc>
      </w:tr>
      <w:tr w:rsidR="005C770C" w14:paraId="61F95444" w14:textId="77777777" w:rsidTr="005C770C">
        <w:tc>
          <w:tcPr>
            <w:tcW w:w="3006" w:type="dxa"/>
          </w:tcPr>
          <w:p w14:paraId="004D9013" w14:textId="0A4871D9" w:rsidR="005C770C" w:rsidRDefault="009F7FC8" w:rsidP="00F268E6">
            <w:r>
              <w:t xml:space="preserve">Introduction du modérateur </w:t>
            </w:r>
          </w:p>
        </w:tc>
        <w:tc>
          <w:tcPr>
            <w:tcW w:w="3006" w:type="dxa"/>
          </w:tcPr>
          <w:p w14:paraId="3A9CC7EC" w14:textId="3C21E827" w:rsidR="005C770C" w:rsidRDefault="009F7FC8" w:rsidP="00F268E6">
            <w:r>
              <w:t>15h – 15h05</w:t>
            </w:r>
          </w:p>
        </w:tc>
        <w:tc>
          <w:tcPr>
            <w:tcW w:w="3007" w:type="dxa"/>
          </w:tcPr>
          <w:p w14:paraId="2BAE8A38" w14:textId="77777777" w:rsidR="005C770C" w:rsidRDefault="005C770C" w:rsidP="00F268E6"/>
        </w:tc>
      </w:tr>
      <w:tr w:rsidR="005C770C" w14:paraId="5A18FA66" w14:textId="77777777" w:rsidTr="005C770C">
        <w:tc>
          <w:tcPr>
            <w:tcW w:w="3006" w:type="dxa"/>
          </w:tcPr>
          <w:p w14:paraId="3522B14F" w14:textId="5711C52F" w:rsidR="005C770C" w:rsidRDefault="009F7FC8" w:rsidP="00F268E6">
            <w:r>
              <w:lastRenderedPageBreak/>
              <w:t xml:space="preserve">Observations liminaires </w:t>
            </w:r>
          </w:p>
        </w:tc>
        <w:tc>
          <w:tcPr>
            <w:tcW w:w="3006" w:type="dxa"/>
          </w:tcPr>
          <w:p w14:paraId="0EF9002A" w14:textId="27F19890" w:rsidR="005C770C" w:rsidRDefault="009F7FC8" w:rsidP="00F268E6">
            <w:r>
              <w:t>15h05 – 15h20</w:t>
            </w:r>
          </w:p>
        </w:tc>
        <w:tc>
          <w:tcPr>
            <w:tcW w:w="3007" w:type="dxa"/>
          </w:tcPr>
          <w:p w14:paraId="01880448" w14:textId="77777777" w:rsidR="005C770C" w:rsidRDefault="005C770C" w:rsidP="00F268E6"/>
        </w:tc>
      </w:tr>
      <w:tr w:rsidR="005C770C" w14:paraId="5CC17966" w14:textId="77777777" w:rsidTr="005C770C">
        <w:tc>
          <w:tcPr>
            <w:tcW w:w="3006" w:type="dxa"/>
          </w:tcPr>
          <w:p w14:paraId="0B4AF666" w14:textId="719D3F1D" w:rsidR="005C770C" w:rsidRDefault="009F7FC8" w:rsidP="00F268E6">
            <w:r>
              <w:t xml:space="preserve">Orateurs principaux </w:t>
            </w:r>
          </w:p>
        </w:tc>
        <w:tc>
          <w:tcPr>
            <w:tcW w:w="3006" w:type="dxa"/>
          </w:tcPr>
          <w:p w14:paraId="55DB4FBD" w14:textId="7E6C36B5" w:rsidR="005C770C" w:rsidRDefault="009F7FC8" w:rsidP="00F268E6">
            <w:r>
              <w:t>15h20 – 15h45</w:t>
            </w:r>
          </w:p>
        </w:tc>
        <w:tc>
          <w:tcPr>
            <w:tcW w:w="3007" w:type="dxa"/>
          </w:tcPr>
          <w:p w14:paraId="598EF7B3" w14:textId="23F3638D" w:rsidR="005C770C" w:rsidRDefault="009F7FC8" w:rsidP="00F268E6">
            <w:r>
              <w:t>16h30 - 16h55</w:t>
            </w:r>
          </w:p>
        </w:tc>
      </w:tr>
      <w:tr w:rsidR="005C770C" w14:paraId="74C94948" w14:textId="77777777" w:rsidTr="005C770C">
        <w:tc>
          <w:tcPr>
            <w:tcW w:w="3006" w:type="dxa"/>
          </w:tcPr>
          <w:p w14:paraId="055B2310" w14:textId="46455905" w:rsidR="005C770C" w:rsidRDefault="009F7FC8" w:rsidP="00F268E6">
            <w:r>
              <w:t>Table ronde (4 orateurs par thème)</w:t>
            </w:r>
          </w:p>
        </w:tc>
        <w:tc>
          <w:tcPr>
            <w:tcW w:w="3006" w:type="dxa"/>
          </w:tcPr>
          <w:p w14:paraId="145CCA99" w14:textId="1DB81B9D" w:rsidR="005C770C" w:rsidRDefault="009F7FC8" w:rsidP="00F268E6">
            <w:r>
              <w:t>15h45 – 16h30</w:t>
            </w:r>
          </w:p>
        </w:tc>
        <w:tc>
          <w:tcPr>
            <w:tcW w:w="3007" w:type="dxa"/>
          </w:tcPr>
          <w:p w14:paraId="46D50262" w14:textId="2B428BE1" w:rsidR="005C770C" w:rsidRDefault="009F7FC8" w:rsidP="00F268E6">
            <w:r>
              <w:t>16h55 – 17h35</w:t>
            </w:r>
          </w:p>
        </w:tc>
      </w:tr>
      <w:tr w:rsidR="005C770C" w14:paraId="366873BC" w14:textId="77777777" w:rsidTr="005C770C">
        <w:tc>
          <w:tcPr>
            <w:tcW w:w="3006" w:type="dxa"/>
          </w:tcPr>
          <w:p w14:paraId="690D4DA2" w14:textId="30BA6195" w:rsidR="005C770C" w:rsidRDefault="002770E2" w:rsidP="00F268E6">
            <w:r>
              <w:t xml:space="preserve">Questions et réponses et débat </w:t>
            </w:r>
          </w:p>
        </w:tc>
        <w:tc>
          <w:tcPr>
            <w:tcW w:w="3006" w:type="dxa"/>
          </w:tcPr>
          <w:p w14:paraId="3E683112" w14:textId="77777777" w:rsidR="005C770C" w:rsidRDefault="005C770C" w:rsidP="00F268E6"/>
        </w:tc>
        <w:tc>
          <w:tcPr>
            <w:tcW w:w="3007" w:type="dxa"/>
          </w:tcPr>
          <w:p w14:paraId="3E2F44A0" w14:textId="26B511F6" w:rsidR="005C770C" w:rsidRDefault="002770E2" w:rsidP="00F268E6">
            <w:r>
              <w:t>17h35 – 17h55</w:t>
            </w:r>
          </w:p>
        </w:tc>
      </w:tr>
      <w:tr w:rsidR="005C770C" w14:paraId="3F1C8AB9" w14:textId="77777777" w:rsidTr="005C770C">
        <w:tc>
          <w:tcPr>
            <w:tcW w:w="3006" w:type="dxa"/>
          </w:tcPr>
          <w:p w14:paraId="602CC352" w14:textId="3F594F7D" w:rsidR="005C770C" w:rsidRDefault="00A42CED" w:rsidP="00F268E6">
            <w:r>
              <w:t>Allocution de clôture</w:t>
            </w:r>
          </w:p>
        </w:tc>
        <w:tc>
          <w:tcPr>
            <w:tcW w:w="3006" w:type="dxa"/>
          </w:tcPr>
          <w:p w14:paraId="304DFA54" w14:textId="77777777" w:rsidR="005C770C" w:rsidRDefault="005C770C" w:rsidP="00F268E6"/>
        </w:tc>
        <w:tc>
          <w:tcPr>
            <w:tcW w:w="3007" w:type="dxa"/>
          </w:tcPr>
          <w:p w14:paraId="3A8944AE" w14:textId="2BB751BF" w:rsidR="005C770C" w:rsidRDefault="002770E2" w:rsidP="00F268E6">
            <w:r>
              <w:t>17h55 – 18h00</w:t>
            </w:r>
          </w:p>
        </w:tc>
      </w:tr>
    </w:tbl>
    <w:p w14:paraId="017E57FD" w14:textId="0A61A242" w:rsidR="00F268E6" w:rsidRDefault="00F268E6" w:rsidP="00F268E6"/>
    <w:p w14:paraId="67024738" w14:textId="77777777" w:rsidR="00F268E6" w:rsidRDefault="00F268E6" w:rsidP="00F268E6"/>
    <w:p w14:paraId="5D732608" w14:textId="77777777" w:rsidR="00F268E6" w:rsidRDefault="00F268E6" w:rsidP="00F268E6"/>
    <w:p w14:paraId="2586DB6C" w14:textId="77777777" w:rsidR="00F268E6" w:rsidRDefault="00F268E6" w:rsidP="00F268E6">
      <w:pPr>
        <w:rPr>
          <w:b/>
        </w:rPr>
      </w:pPr>
      <w:r>
        <w:rPr>
          <w:b/>
        </w:rPr>
        <w:t>Thème 1 : Accélérer le développement de l’entrepreneuriat féminin en Afrique</w:t>
      </w:r>
    </w:p>
    <w:p w14:paraId="419C81E5" w14:textId="77777777" w:rsidR="00F268E6" w:rsidRDefault="00F268E6" w:rsidP="00F268E6"/>
    <w:p w14:paraId="2C3008DB" w14:textId="77777777" w:rsidR="00F268E6" w:rsidRDefault="00F268E6" w:rsidP="00F268E6">
      <w:pPr>
        <w:jc w:val="both"/>
        <w:rPr>
          <w:b/>
        </w:rPr>
      </w:pPr>
      <w:r>
        <w:rPr>
          <w:b/>
        </w:rPr>
        <w:t>Contexte :</w:t>
      </w:r>
    </w:p>
    <w:p w14:paraId="49D08B28" w14:textId="2308DA3C" w:rsidR="00F268E6" w:rsidRDefault="00F268E6" w:rsidP="00F268E6">
      <w:pPr>
        <w:jc w:val="both"/>
      </w:pPr>
      <w:r>
        <w:t xml:space="preserve">L’entrepreneuriat féminin </w:t>
      </w:r>
      <w:r w:rsidR="000C5F7B">
        <w:t>recèle</w:t>
      </w:r>
      <w:r>
        <w:t xml:space="preserve"> un immense potentiel pour stimuler la croissance économique en Afrique. Cependant, des obstacles systémiques tels que l’accès limité au financement, aux marchés et à la technologie continuent d’entraver les progrès. </w:t>
      </w:r>
      <w:r w:rsidR="000C5F7B">
        <w:t>Cette</w:t>
      </w:r>
      <w:r>
        <w:t xml:space="preserve"> session </w:t>
      </w:r>
      <w:r w:rsidR="000C5F7B">
        <w:t>propos</w:t>
      </w:r>
      <w:r>
        <w:t xml:space="preserve">era des solutions pour favoriser un environnement favorable </w:t>
      </w:r>
      <w:r w:rsidR="000C5F7B">
        <w:t xml:space="preserve">à l’entrepreneuriat féminin, </w:t>
      </w:r>
      <w:r>
        <w:t>en mettant l’accent sur le rôle des technologies numériques, des cadres politiques et des partenariats.</w:t>
      </w:r>
    </w:p>
    <w:p w14:paraId="60774FF3" w14:textId="77777777" w:rsidR="00F268E6" w:rsidRDefault="00F268E6" w:rsidP="00F268E6">
      <w:pPr>
        <w:jc w:val="both"/>
        <w:rPr>
          <w:b/>
        </w:rPr>
      </w:pPr>
      <w:r>
        <w:rPr>
          <w:b/>
        </w:rPr>
        <w:t>Questions clés :</w:t>
      </w:r>
    </w:p>
    <w:p w14:paraId="5C4315FC" w14:textId="51C50EA1" w:rsidR="00F268E6" w:rsidRDefault="00F268E6" w:rsidP="00F268E6">
      <w:pPr>
        <w:numPr>
          <w:ilvl w:val="0"/>
          <w:numId w:val="9"/>
        </w:numPr>
        <w:jc w:val="both"/>
      </w:pPr>
      <w:r>
        <w:t xml:space="preserve">Comment le développement </w:t>
      </w:r>
      <w:r w:rsidR="000C5F7B">
        <w:t>de l’</w:t>
      </w:r>
      <w:r>
        <w:t>entrepreneuria</w:t>
      </w:r>
      <w:r w:rsidR="000C5F7B">
        <w:t>t</w:t>
      </w:r>
      <w:r>
        <w:t xml:space="preserve"> des femmes peut-il </w:t>
      </w:r>
      <w:r w:rsidR="000C5F7B">
        <w:t xml:space="preserve">jouer un rôle moteur aux fins de la réduction </w:t>
      </w:r>
      <w:r>
        <w:t xml:space="preserve">de la pauvreté et d’un développement humain durable ? </w:t>
      </w:r>
    </w:p>
    <w:p w14:paraId="14AF564A" w14:textId="1852EA3D" w:rsidR="00F268E6" w:rsidRDefault="00F268E6" w:rsidP="00F268E6">
      <w:pPr>
        <w:numPr>
          <w:ilvl w:val="0"/>
          <w:numId w:val="9"/>
        </w:numPr>
        <w:jc w:val="both"/>
      </w:pPr>
      <w:r>
        <w:t xml:space="preserve">Quels mécanismes de financement innovants soutiennent l’autonomisation économique des femmes </w:t>
      </w:r>
      <w:r w:rsidR="000C5F7B">
        <w:t>sensible au genre</w:t>
      </w:r>
      <w:r>
        <w:t xml:space="preserve"> ?</w:t>
      </w:r>
    </w:p>
    <w:p w14:paraId="258E2462" w14:textId="029BE620" w:rsidR="00F268E6" w:rsidRDefault="00F268E6" w:rsidP="00F268E6">
      <w:pPr>
        <w:numPr>
          <w:ilvl w:val="0"/>
          <w:numId w:val="9"/>
        </w:numPr>
        <w:jc w:val="both"/>
      </w:pPr>
      <w:r>
        <w:t>Quelles sont les opportunités dans la Zone de libre-échange continentale africaine (ZLECA</w:t>
      </w:r>
      <w:r w:rsidR="001C17E6">
        <w:t>f</w:t>
      </w:r>
      <w:r>
        <w:t>) pour les femmes entrepreneures ?</w:t>
      </w:r>
    </w:p>
    <w:p w14:paraId="591692BA" w14:textId="77777777" w:rsidR="00F268E6" w:rsidRDefault="00F268E6" w:rsidP="00F268E6">
      <w:pPr>
        <w:jc w:val="both"/>
        <w:rPr>
          <w:b/>
        </w:rPr>
      </w:pPr>
      <w:r>
        <w:rPr>
          <w:b/>
        </w:rPr>
        <w:t>Résultats attendus :</w:t>
      </w:r>
    </w:p>
    <w:p w14:paraId="5207BC37" w14:textId="77777777" w:rsidR="00F268E6" w:rsidRDefault="00F268E6" w:rsidP="00F268E6">
      <w:pPr>
        <w:numPr>
          <w:ilvl w:val="0"/>
          <w:numId w:val="10"/>
        </w:numPr>
        <w:jc w:val="both"/>
      </w:pPr>
      <w:r>
        <w:t>Augmentation des investissements internationaux dans le développement entrepreneurial des femmes.</w:t>
      </w:r>
    </w:p>
    <w:p w14:paraId="0DCC713C" w14:textId="025A76C6" w:rsidR="00F268E6" w:rsidRDefault="00F268E6" w:rsidP="00F268E6">
      <w:pPr>
        <w:numPr>
          <w:ilvl w:val="0"/>
          <w:numId w:val="10"/>
        </w:numPr>
        <w:jc w:val="both"/>
      </w:pPr>
      <w:r>
        <w:t xml:space="preserve">Engagements à élaborer des politiques et des partenariats </w:t>
      </w:r>
      <w:r w:rsidR="001C17E6">
        <w:t>sensibles a</w:t>
      </w:r>
      <w:r>
        <w:t>u genre.</w:t>
      </w:r>
    </w:p>
    <w:p w14:paraId="7720C9CF" w14:textId="5295E39E" w:rsidR="00F268E6" w:rsidRDefault="00F268E6" w:rsidP="00F268E6">
      <w:pPr>
        <w:numPr>
          <w:ilvl w:val="0"/>
          <w:numId w:val="10"/>
        </w:numPr>
        <w:jc w:val="both"/>
      </w:pPr>
      <w:r>
        <w:t xml:space="preserve">Présentation de bonnes pratiques et d’études de cas </w:t>
      </w:r>
      <w:r w:rsidR="001C17E6">
        <w:t>couronnée</w:t>
      </w:r>
      <w:r>
        <w:t>s</w:t>
      </w:r>
      <w:r w:rsidR="001C17E6">
        <w:t xml:space="preserve"> de succès</w:t>
      </w:r>
      <w:r>
        <w:t>.</w:t>
      </w:r>
    </w:p>
    <w:p w14:paraId="41FB8CB3" w14:textId="77777777" w:rsidR="001C17E6" w:rsidRDefault="001C17E6" w:rsidP="001C17E6">
      <w:pPr>
        <w:ind w:left="720"/>
        <w:jc w:val="both"/>
      </w:pPr>
    </w:p>
    <w:p w14:paraId="3FEB0130" w14:textId="2D3DA67C" w:rsidR="00F268E6" w:rsidRDefault="00F268E6" w:rsidP="00F268E6">
      <w:pPr>
        <w:jc w:val="both"/>
        <w:rPr>
          <w:b/>
        </w:rPr>
      </w:pPr>
      <w:r>
        <w:rPr>
          <w:b/>
        </w:rPr>
        <w:t>Thème 2 : Réduire les risques liés au déficit de viabilité de</w:t>
      </w:r>
      <w:r w:rsidR="00F20AD9">
        <w:rPr>
          <w:b/>
        </w:rPr>
        <w:t xml:space="preserve">s </w:t>
      </w:r>
      <w:r>
        <w:rPr>
          <w:b/>
        </w:rPr>
        <w:t>énergie</w:t>
      </w:r>
      <w:r w:rsidR="00F20AD9">
        <w:rPr>
          <w:b/>
        </w:rPr>
        <w:t>s</w:t>
      </w:r>
      <w:r>
        <w:rPr>
          <w:b/>
        </w:rPr>
        <w:t xml:space="preserve"> renouvelable</w:t>
      </w:r>
      <w:r w:rsidR="00F20AD9">
        <w:rPr>
          <w:b/>
        </w:rPr>
        <w:t>s</w:t>
      </w:r>
      <w:r>
        <w:rPr>
          <w:b/>
        </w:rPr>
        <w:t xml:space="preserve"> en Afrique</w:t>
      </w:r>
    </w:p>
    <w:p w14:paraId="359952FF" w14:textId="07AC870F" w:rsidR="00F268E6" w:rsidRDefault="00F268E6" w:rsidP="00F268E6">
      <w:pPr>
        <w:jc w:val="both"/>
        <w:rPr>
          <w:b/>
        </w:rPr>
      </w:pPr>
      <w:r>
        <w:rPr>
          <w:b/>
        </w:rPr>
        <w:t>Contexte :</w:t>
      </w:r>
    </w:p>
    <w:p w14:paraId="5611E231" w14:textId="61FE20B9" w:rsidR="00F268E6" w:rsidRDefault="00F268E6" w:rsidP="00F268E6">
      <w:pPr>
        <w:jc w:val="both"/>
      </w:pPr>
      <w:r>
        <w:t>Le secteur des énergies renouvelables en Afrique recèle un potentiel immense, mais il reste sous-financé et sous-développé en raison de risques</w:t>
      </w:r>
      <w:r w:rsidR="0075322C">
        <w:t xml:space="preserve"> divers</w:t>
      </w:r>
      <w:r>
        <w:t>, notamment des obstacles financiers et infrastructurels. Cette session</w:t>
      </w:r>
      <w:r w:rsidR="0075322C">
        <w:t xml:space="preserve"> envisagera</w:t>
      </w:r>
      <w:r>
        <w:t xml:space="preserve"> </w:t>
      </w:r>
      <w:r w:rsidR="0075322C">
        <w:t>d</w:t>
      </w:r>
      <w:r>
        <w:t>es stratégies visant à réduire les risques liés aux investissements énergétiques et à les rendre attractifs pour les acteurs du secteur privé.</w:t>
      </w:r>
    </w:p>
    <w:p w14:paraId="071F5EAD" w14:textId="77777777" w:rsidR="00F268E6" w:rsidRDefault="00F268E6" w:rsidP="00F268E6">
      <w:pPr>
        <w:jc w:val="both"/>
      </w:pPr>
    </w:p>
    <w:p w14:paraId="597FC366" w14:textId="14E7DC21" w:rsidR="00F268E6" w:rsidRDefault="00F268E6" w:rsidP="00F268E6">
      <w:pPr>
        <w:jc w:val="both"/>
        <w:rPr>
          <w:b/>
        </w:rPr>
      </w:pPr>
      <w:r>
        <w:rPr>
          <w:b/>
        </w:rPr>
        <w:t>Questions-Réponses et d</w:t>
      </w:r>
      <w:r w:rsidR="0075322C">
        <w:rPr>
          <w:b/>
        </w:rPr>
        <w:t>ébats</w:t>
      </w:r>
    </w:p>
    <w:p w14:paraId="157814DF" w14:textId="0A5FCB72" w:rsidR="00F268E6" w:rsidRDefault="0075322C" w:rsidP="00F268E6">
      <w:pPr>
        <w:jc w:val="both"/>
        <w:rPr>
          <w:b/>
        </w:rPr>
      </w:pPr>
      <w:r>
        <w:rPr>
          <w:b/>
        </w:rPr>
        <w:t>Allocution de clôture</w:t>
      </w:r>
      <w:r w:rsidR="00F268E6">
        <w:rPr>
          <w:b/>
        </w:rPr>
        <w:t xml:space="preserve"> </w:t>
      </w:r>
    </w:p>
    <w:p w14:paraId="3AC5694E" w14:textId="77777777" w:rsidR="00F268E6" w:rsidRDefault="00F268E6" w:rsidP="00F268E6">
      <w:pPr>
        <w:jc w:val="both"/>
      </w:pPr>
    </w:p>
    <w:p w14:paraId="4265BB50" w14:textId="77777777" w:rsidR="00F268E6" w:rsidRDefault="00F268E6" w:rsidP="00F268E6">
      <w:pPr>
        <w:jc w:val="both"/>
        <w:rPr>
          <w:b/>
        </w:rPr>
      </w:pPr>
      <w:r>
        <w:rPr>
          <w:b/>
        </w:rPr>
        <w:t>Questions clés :</w:t>
      </w:r>
    </w:p>
    <w:p w14:paraId="53CFCE11" w14:textId="77777777" w:rsidR="00F268E6" w:rsidRDefault="00F268E6" w:rsidP="00F268E6">
      <w:pPr>
        <w:numPr>
          <w:ilvl w:val="0"/>
          <w:numId w:val="11"/>
        </w:numPr>
        <w:jc w:val="both"/>
      </w:pPr>
      <w:r>
        <w:t>Quels facteurs contribuent au déficit de viabilité énergétique et comment peuvent-ils être atténués ?</w:t>
      </w:r>
    </w:p>
    <w:p w14:paraId="6621527E" w14:textId="3F73161F" w:rsidR="00F268E6" w:rsidRDefault="00F268E6" w:rsidP="00F268E6">
      <w:pPr>
        <w:numPr>
          <w:ilvl w:val="0"/>
          <w:numId w:val="11"/>
        </w:numPr>
        <w:jc w:val="both"/>
      </w:pPr>
      <w:r>
        <w:lastRenderedPageBreak/>
        <w:t>Quels sont les instruments financiers innovants et les stratégies</w:t>
      </w:r>
      <w:r w:rsidR="00A0762F">
        <w:t xml:space="preserve"> </w:t>
      </w:r>
      <w:r>
        <w:t>d'atténuation des risques dans le secteur des énergies renouvelables ?</w:t>
      </w:r>
    </w:p>
    <w:p w14:paraId="27669054" w14:textId="74B1C762" w:rsidR="00F268E6" w:rsidRDefault="00F268E6" w:rsidP="00F268E6">
      <w:pPr>
        <w:numPr>
          <w:ilvl w:val="0"/>
          <w:numId w:val="11"/>
        </w:numPr>
        <w:jc w:val="both"/>
      </w:pPr>
      <w:r>
        <w:t>Quels modèles commerciaux d'énergies renouvelables se sont avérés rentables en Afrique</w:t>
      </w:r>
      <w:r w:rsidR="00A0762F">
        <w:t xml:space="preserve"> </w:t>
      </w:r>
      <w:r>
        <w:t>?</w:t>
      </w:r>
    </w:p>
    <w:p w14:paraId="3D3350DB" w14:textId="77777777" w:rsidR="00A0762F" w:rsidRDefault="00A0762F" w:rsidP="00A0762F">
      <w:pPr>
        <w:ind w:left="720"/>
        <w:jc w:val="both"/>
      </w:pPr>
    </w:p>
    <w:p w14:paraId="24BBB737" w14:textId="77777777" w:rsidR="00F268E6" w:rsidRDefault="00F268E6" w:rsidP="00F268E6">
      <w:pPr>
        <w:jc w:val="both"/>
        <w:rPr>
          <w:b/>
        </w:rPr>
      </w:pPr>
      <w:r>
        <w:rPr>
          <w:b/>
        </w:rPr>
        <w:t>Résultats attendus :</w:t>
      </w:r>
    </w:p>
    <w:p w14:paraId="50708482" w14:textId="58930AEE" w:rsidR="00F268E6" w:rsidRDefault="00F268E6" w:rsidP="00F268E6">
      <w:pPr>
        <w:numPr>
          <w:ilvl w:val="0"/>
          <w:numId w:val="12"/>
        </w:numPr>
        <w:jc w:val="both"/>
      </w:pPr>
      <w:r>
        <w:t xml:space="preserve">Recommandations </w:t>
      </w:r>
      <w:r w:rsidR="00A507F4">
        <w:t>concrèt</w:t>
      </w:r>
      <w:r>
        <w:t>es pour réduire les risques liés aux investissements énergétiques.</w:t>
      </w:r>
    </w:p>
    <w:p w14:paraId="07984CAA" w14:textId="77777777" w:rsidR="00F268E6" w:rsidRDefault="00F268E6" w:rsidP="00F268E6">
      <w:pPr>
        <w:numPr>
          <w:ilvl w:val="0"/>
          <w:numId w:val="12"/>
        </w:numPr>
        <w:jc w:val="both"/>
      </w:pPr>
      <w:r>
        <w:t>Engagements nouveaux et renouvelés pour accroître les investissements dans les énergies renouvelables.</w:t>
      </w:r>
    </w:p>
    <w:p w14:paraId="78C1DCA3" w14:textId="6DDC7B77" w:rsidR="00F268E6" w:rsidRDefault="00A0762F" w:rsidP="00F268E6">
      <w:pPr>
        <w:numPr>
          <w:ilvl w:val="0"/>
          <w:numId w:val="12"/>
        </w:numPr>
        <w:jc w:val="both"/>
      </w:pPr>
      <w:r>
        <w:t>Renforcement des c</w:t>
      </w:r>
      <w:r w:rsidR="00F268E6">
        <w:t xml:space="preserve">adres institutionnels pour </w:t>
      </w:r>
      <w:r>
        <w:t>appuye</w:t>
      </w:r>
      <w:r w:rsidR="00F268E6">
        <w:t>r les projets d'énergies renouvelables.</w:t>
      </w:r>
    </w:p>
    <w:p w14:paraId="1AE1E91B" w14:textId="77777777" w:rsidR="00C67B55" w:rsidRDefault="00C67B55" w:rsidP="00C67B55">
      <w:pPr>
        <w:ind w:left="720"/>
        <w:jc w:val="both"/>
      </w:pPr>
    </w:p>
    <w:p w14:paraId="403A52F9" w14:textId="77777777" w:rsidR="00F268E6" w:rsidRDefault="00F268E6" w:rsidP="00F268E6">
      <w:pPr>
        <w:jc w:val="both"/>
        <w:rPr>
          <w:b/>
        </w:rPr>
      </w:pPr>
      <w:r>
        <w:rPr>
          <w:b/>
        </w:rPr>
        <w:t>Conclusion :</w:t>
      </w:r>
    </w:p>
    <w:p w14:paraId="188DFABE" w14:textId="6EF12AA5" w:rsidR="00F268E6" w:rsidRDefault="00F268E6" w:rsidP="00F268E6">
      <w:pPr>
        <w:jc w:val="both"/>
      </w:pPr>
      <w:r>
        <w:t xml:space="preserve">Les </w:t>
      </w:r>
      <w:r w:rsidR="00A507F4">
        <w:t>débats</w:t>
      </w:r>
      <w:r>
        <w:t xml:space="preserve"> de ce</w:t>
      </w:r>
      <w:r w:rsidR="00A507F4">
        <w:t>tte manifestation</w:t>
      </w:r>
      <w:r>
        <w:t xml:space="preserve"> fourniront des informations précieuses et favoriseront </w:t>
      </w:r>
      <w:r w:rsidR="00A507F4">
        <w:t>d</w:t>
      </w:r>
      <w:r>
        <w:t>es partenariats essentiels pour faire avancer le programme de développement de l’Afrique. En abordant ces deux domaines essentiels – l’entrepreneuriat féminin et l</w:t>
      </w:r>
      <w:r w:rsidR="00CC4C3A">
        <w:t xml:space="preserve">es </w:t>
      </w:r>
      <w:r>
        <w:t>énergie</w:t>
      </w:r>
      <w:r w:rsidR="00CC4C3A">
        <w:t>s</w:t>
      </w:r>
      <w:r>
        <w:t xml:space="preserve"> renouvelable</w:t>
      </w:r>
      <w:r w:rsidR="00CC4C3A">
        <w:t>s</w:t>
      </w:r>
      <w:r>
        <w:t xml:space="preserve"> – cet</w:t>
      </w:r>
      <w:r w:rsidR="00067ACC">
        <w:t>te manifestation</w:t>
      </w:r>
      <w:r>
        <w:t xml:space="preserve"> se</w:t>
      </w:r>
      <w:r w:rsidR="005D5D1C">
        <w:t xml:space="preserve">ra un point de départ à </w:t>
      </w:r>
      <w:r>
        <w:t>des actions transformatrices qui garanti</w:t>
      </w:r>
      <w:r w:rsidR="005D5D1C">
        <w:t>ro</w:t>
      </w:r>
      <w:r>
        <w:t>nt un développement inclusif et durable sur tout le continent.</w:t>
      </w:r>
    </w:p>
    <w:p w14:paraId="19D90E29" w14:textId="77777777" w:rsidR="00F268E6" w:rsidRDefault="00F268E6" w:rsidP="00F268E6">
      <w:pPr>
        <w:jc w:val="both"/>
      </w:pPr>
    </w:p>
    <w:p w14:paraId="37010B25" w14:textId="7592774C" w:rsidR="00F268E6" w:rsidRDefault="00F268E6" w:rsidP="00F268E6">
      <w:pPr>
        <w:jc w:val="both"/>
      </w:pPr>
      <w:r>
        <w:rPr>
          <w:b/>
        </w:rPr>
        <w:t>Prochaines étapes :</w:t>
      </w:r>
      <w:r>
        <w:t xml:space="preserve"> Un rapport de synthèse des d</w:t>
      </w:r>
      <w:r w:rsidR="005D5D1C">
        <w:t>ébat</w:t>
      </w:r>
      <w:r>
        <w:t xml:space="preserve">s et engagements pris </w:t>
      </w:r>
      <w:r w:rsidR="005D5D1C">
        <w:t>pendant la manifestation</w:t>
      </w:r>
      <w:r>
        <w:t xml:space="preserve"> sera partagé avec les </w:t>
      </w:r>
      <w:r w:rsidR="005D5D1C">
        <w:t>intervenant</w:t>
      </w:r>
      <w:r>
        <w:t>s et les parties prenantes pour guider les actions futures.</w:t>
      </w:r>
    </w:p>
    <w:p w14:paraId="3E155286" w14:textId="77777777" w:rsidR="00F268E6" w:rsidRDefault="00F268E6" w:rsidP="00F268E6">
      <w:pPr>
        <w:jc w:val="both"/>
      </w:pPr>
    </w:p>
    <w:p w14:paraId="71776494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032287EB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46A7E588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2BD49552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34C76D25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299B6FCC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267A9D1C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549A03C4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1B7A4D9F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33DCFA7D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07EB1D7F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1A1410D9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6CD9342D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7AF7696B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4E960DC9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0A2B34BE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414EE2CC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0A8370E8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611A98FA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3D4C82B9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162EFF20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69187DFA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5054941E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73774D3A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p w14:paraId="565EF83B" w14:textId="77777777" w:rsidR="00F268E6" w:rsidRDefault="00F268E6">
      <w:pPr>
        <w:jc w:val="both"/>
        <w:rPr>
          <w:rFonts w:eastAsia="Times New Roman"/>
          <w:sz w:val="24"/>
          <w:szCs w:val="24"/>
        </w:rPr>
      </w:pPr>
    </w:p>
    <w:sectPr w:rsidR="00F268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8B6"/>
    <w:multiLevelType w:val="multilevel"/>
    <w:tmpl w:val="A5A67D2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E030CBF"/>
    <w:multiLevelType w:val="multilevel"/>
    <w:tmpl w:val="6BC6F32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2820AE1"/>
    <w:multiLevelType w:val="multilevel"/>
    <w:tmpl w:val="23EC8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DE599E"/>
    <w:multiLevelType w:val="multilevel"/>
    <w:tmpl w:val="B242F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A47F6B"/>
    <w:multiLevelType w:val="multilevel"/>
    <w:tmpl w:val="13945B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19A7A80"/>
    <w:multiLevelType w:val="multilevel"/>
    <w:tmpl w:val="837C9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CC764D"/>
    <w:multiLevelType w:val="multilevel"/>
    <w:tmpl w:val="934E9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146A5D"/>
    <w:multiLevelType w:val="multilevel"/>
    <w:tmpl w:val="8A1014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8E435C1"/>
    <w:multiLevelType w:val="multilevel"/>
    <w:tmpl w:val="BFF0D0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0642B7"/>
    <w:multiLevelType w:val="multilevel"/>
    <w:tmpl w:val="2C1A6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AB3296"/>
    <w:multiLevelType w:val="hybridMultilevel"/>
    <w:tmpl w:val="E0F22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7ECC"/>
    <w:multiLevelType w:val="multilevel"/>
    <w:tmpl w:val="42CC1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5407292">
    <w:abstractNumId w:val="8"/>
  </w:num>
  <w:num w:numId="2" w16cid:durableId="1467819780">
    <w:abstractNumId w:val="6"/>
  </w:num>
  <w:num w:numId="3" w16cid:durableId="289408515">
    <w:abstractNumId w:val="11"/>
  </w:num>
  <w:num w:numId="4" w16cid:durableId="1223249681">
    <w:abstractNumId w:val="3"/>
  </w:num>
  <w:num w:numId="5" w16cid:durableId="1976250827">
    <w:abstractNumId w:val="9"/>
  </w:num>
  <w:num w:numId="6" w16cid:durableId="1410349924">
    <w:abstractNumId w:val="2"/>
  </w:num>
  <w:num w:numId="7" w16cid:durableId="1449621824">
    <w:abstractNumId w:val="5"/>
  </w:num>
  <w:num w:numId="8" w16cid:durableId="27947635">
    <w:abstractNumId w:val="10"/>
  </w:num>
  <w:num w:numId="9" w16cid:durableId="9600672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13194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558548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742909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B8"/>
    <w:rsid w:val="00067ACC"/>
    <w:rsid w:val="000C5F7B"/>
    <w:rsid w:val="001009A9"/>
    <w:rsid w:val="001C17E6"/>
    <w:rsid w:val="00251677"/>
    <w:rsid w:val="00273E12"/>
    <w:rsid w:val="002770E2"/>
    <w:rsid w:val="005C770C"/>
    <w:rsid w:val="005D5D1C"/>
    <w:rsid w:val="005E6DE2"/>
    <w:rsid w:val="0072517C"/>
    <w:rsid w:val="0075322C"/>
    <w:rsid w:val="007C61AB"/>
    <w:rsid w:val="007F3872"/>
    <w:rsid w:val="008464ED"/>
    <w:rsid w:val="008727F1"/>
    <w:rsid w:val="0095544C"/>
    <w:rsid w:val="009967D2"/>
    <w:rsid w:val="009F4FB8"/>
    <w:rsid w:val="009F7FC8"/>
    <w:rsid w:val="00A0762F"/>
    <w:rsid w:val="00A42CED"/>
    <w:rsid w:val="00A507F4"/>
    <w:rsid w:val="00A96629"/>
    <w:rsid w:val="00B13226"/>
    <w:rsid w:val="00C04C24"/>
    <w:rsid w:val="00C04EAC"/>
    <w:rsid w:val="00C37D84"/>
    <w:rsid w:val="00C46217"/>
    <w:rsid w:val="00C67B55"/>
    <w:rsid w:val="00CC4C3A"/>
    <w:rsid w:val="00D2405C"/>
    <w:rsid w:val="00EE374C"/>
    <w:rsid w:val="00F20AD9"/>
    <w:rsid w:val="00F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7A6B"/>
  <w15:docId w15:val="{E0497F86-C0B9-4DB5-9482-412F296F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F268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C77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4664</Characters>
  <Application>Microsoft Office Word</Application>
  <DocSecurity>0</DocSecurity>
  <Lines>466</Lines>
  <Paragraphs>159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jean-marc ben kemoun</cp:lastModifiedBy>
  <cp:revision>3</cp:revision>
  <dcterms:created xsi:type="dcterms:W3CDTF">2024-09-22T10:46:00Z</dcterms:created>
  <dcterms:modified xsi:type="dcterms:W3CDTF">2024-09-22T10:47:00Z</dcterms:modified>
</cp:coreProperties>
</file>